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3E191B">
      <w:pPr>
        <w:spacing w:line="360" w:lineRule="auto"/>
        <w:ind w:firstLine="480"/>
        <w:jc w:val="center"/>
        <w:rPr>
          <w:rFonts w:hint="eastAsia" w:ascii="Times New Roman" w:hAnsi="Times New Roman" w:eastAsia="宋体"/>
          <w:color w:val="000000" w:themeColor="text1"/>
          <w:sz w:val="32"/>
          <w:lang w:eastAsia="zh-CN"/>
          <w14:textFill>
            <w14:solidFill>
              <w14:schemeClr w14:val="tx1"/>
            </w14:solidFill>
          </w14:textFill>
        </w:rPr>
      </w:pPr>
    </w:p>
    <w:p w14:paraId="35B6D5DE">
      <w:pPr>
        <w:ind w:firstLine="480"/>
        <w:jc w:val="center"/>
        <w:rPr>
          <w:rFonts w:ascii="Times New Roman" w:hAnsi="Times New Roman"/>
          <w:color w:val="000000" w:themeColor="text1"/>
          <w:sz w:val="32"/>
          <w14:textFill>
            <w14:solidFill>
              <w14:schemeClr w14:val="tx1"/>
            </w14:solidFill>
          </w14:textFill>
        </w:rPr>
      </w:pPr>
    </w:p>
    <w:p w14:paraId="697D7C7A">
      <w:pPr>
        <w:jc w:val="center"/>
        <w:rPr>
          <w:rFonts w:ascii="Times New Roman" w:hAnsi="Times New Roman" w:eastAsiaTheme="majorEastAsia"/>
          <w:b/>
          <w:color w:val="000000" w:themeColor="text1"/>
          <w:sz w:val="36"/>
          <w:szCs w:val="36"/>
          <w14:textFill>
            <w14:solidFill>
              <w14:schemeClr w14:val="tx1"/>
            </w14:solidFill>
          </w14:textFill>
        </w:rPr>
      </w:pPr>
      <w:r>
        <w:rPr>
          <w:rFonts w:ascii="Times New Roman" w:hAnsiTheme="majorEastAsia" w:eastAsiaTheme="majorEastAsia"/>
          <w:b/>
          <w:color w:val="000000" w:themeColor="text1"/>
          <w:sz w:val="36"/>
          <w:szCs w:val="36"/>
          <w14:textFill>
            <w14:solidFill>
              <w14:schemeClr w14:val="tx1"/>
            </w14:solidFill>
          </w14:textFill>
        </w:rPr>
        <w:t>《</w:t>
      </w:r>
      <w:r>
        <w:rPr>
          <w:rFonts w:hint="eastAsia" w:ascii="Times New Roman" w:hAnsi="Times New Roman" w:eastAsiaTheme="majorEastAsia"/>
          <w:b/>
          <w:color w:val="000000" w:themeColor="text1"/>
          <w:sz w:val="36"/>
          <w:szCs w:val="36"/>
          <w14:textFill>
            <w14:solidFill>
              <w14:schemeClr w14:val="tx1"/>
            </w14:solidFill>
          </w14:textFill>
        </w:rPr>
        <w:t>钢铁工业大气污染控制技术规范</w:t>
      </w:r>
      <w:r>
        <w:rPr>
          <w:rFonts w:ascii="Times New Roman" w:hAnsiTheme="majorEastAsia" w:eastAsiaTheme="majorEastAsia"/>
          <w:b/>
          <w:color w:val="000000" w:themeColor="text1"/>
          <w:sz w:val="36"/>
          <w:szCs w:val="36"/>
          <w14:textFill>
            <w14:solidFill>
              <w14:schemeClr w14:val="tx1"/>
            </w14:solidFill>
          </w14:textFill>
        </w:rPr>
        <w:t>》</w:t>
      </w:r>
    </w:p>
    <w:p w14:paraId="4C8BD810">
      <w:pPr>
        <w:ind w:firstLine="480"/>
        <w:jc w:val="center"/>
        <w:rPr>
          <w:rFonts w:ascii="Times New Roman" w:hAnsi="Times New Roman"/>
          <w:b/>
          <w:bCs/>
          <w:color w:val="000000" w:themeColor="text1"/>
          <w:sz w:val="36"/>
          <w:szCs w:val="36"/>
          <w14:textFill>
            <w14:solidFill>
              <w14:schemeClr w14:val="tx1"/>
            </w14:solidFill>
          </w14:textFill>
        </w:rPr>
      </w:pPr>
      <w:r>
        <w:rPr>
          <w:rFonts w:ascii="Times New Roman" w:hAnsi="Times New Roman"/>
          <w:b/>
          <w:bCs/>
          <w:color w:val="000000" w:themeColor="text1"/>
          <w:sz w:val="36"/>
          <w:szCs w:val="36"/>
          <w14:textFill>
            <w14:solidFill>
              <w14:schemeClr w14:val="tx1"/>
            </w14:solidFill>
          </w14:textFill>
        </w:rPr>
        <w:t>编制说明</w:t>
      </w:r>
    </w:p>
    <w:p w14:paraId="285102B3">
      <w:pPr>
        <w:ind w:firstLine="480"/>
        <w:jc w:val="center"/>
        <w:rPr>
          <w:rFonts w:ascii="Times New Roman" w:hAnsi="Times New Roman" w:eastAsia="黑体"/>
          <w:b/>
          <w:bCs/>
          <w:color w:val="000000" w:themeColor="text1"/>
          <w:sz w:val="36"/>
          <w:szCs w:val="36"/>
          <w:shd w:val="pct10" w:color="auto" w:fill="FFFFFF"/>
          <w14:textFill>
            <w14:solidFill>
              <w14:schemeClr w14:val="tx1"/>
            </w14:solidFill>
          </w14:textFill>
        </w:rPr>
      </w:pPr>
      <w:r>
        <w:rPr>
          <w:rFonts w:ascii="Times New Roman" w:hAnsi="Times New Roman" w:eastAsia="黑体"/>
          <w:color w:val="000000" w:themeColor="text1"/>
          <w:sz w:val="28"/>
          <w:szCs w:val="28"/>
          <w14:textFill>
            <w14:solidFill>
              <w14:schemeClr w14:val="tx1"/>
            </w14:solidFill>
          </w14:textFill>
        </w:rPr>
        <w:t>DB62/TXXXX-202X</w:t>
      </w:r>
    </w:p>
    <w:p w14:paraId="0D1F5A9C">
      <w:pPr>
        <w:ind w:firstLine="480"/>
        <w:jc w:val="center"/>
        <w:rPr>
          <w:rFonts w:ascii="Times New Roman" w:hAnsi="Times New Roman"/>
          <w:b/>
          <w:bCs/>
          <w:color w:val="000000" w:themeColor="text1"/>
          <w:sz w:val="36"/>
          <w:szCs w:val="36"/>
          <w14:textFill>
            <w14:solidFill>
              <w14:schemeClr w14:val="tx1"/>
            </w14:solidFill>
          </w14:textFill>
        </w:rPr>
      </w:pPr>
    </w:p>
    <w:p w14:paraId="24084417">
      <w:pPr>
        <w:ind w:firstLine="480"/>
        <w:jc w:val="center"/>
        <w:rPr>
          <w:rFonts w:ascii="Times New Roman" w:hAnsi="Times New Roman"/>
          <w:b/>
          <w:bCs/>
          <w:color w:val="000000" w:themeColor="text1"/>
          <w:sz w:val="36"/>
          <w:szCs w:val="36"/>
          <w14:textFill>
            <w14:solidFill>
              <w14:schemeClr w14:val="tx1"/>
            </w14:solidFill>
          </w14:textFill>
        </w:rPr>
      </w:pPr>
    </w:p>
    <w:p w14:paraId="06320FF3">
      <w:pPr>
        <w:ind w:firstLine="480"/>
        <w:jc w:val="center"/>
        <w:rPr>
          <w:rFonts w:ascii="Times New Roman" w:hAnsi="Times New Roman"/>
          <w:b/>
          <w:bCs/>
          <w:color w:val="000000" w:themeColor="text1"/>
          <w:sz w:val="36"/>
          <w:szCs w:val="36"/>
          <w14:textFill>
            <w14:solidFill>
              <w14:schemeClr w14:val="tx1"/>
            </w14:solidFill>
          </w14:textFill>
        </w:rPr>
      </w:pPr>
    </w:p>
    <w:p w14:paraId="1FBC6286">
      <w:pPr>
        <w:ind w:firstLine="480"/>
        <w:jc w:val="center"/>
        <w:rPr>
          <w:rFonts w:ascii="Times New Roman" w:hAnsi="Times New Roman"/>
          <w:b/>
          <w:bCs/>
          <w:color w:val="000000" w:themeColor="text1"/>
          <w:sz w:val="36"/>
          <w:szCs w:val="36"/>
          <w14:textFill>
            <w14:solidFill>
              <w14:schemeClr w14:val="tx1"/>
            </w14:solidFill>
          </w14:textFill>
        </w:rPr>
      </w:pPr>
      <w:r>
        <w:rPr>
          <w:rFonts w:ascii="Times New Roman" w:hAnsi="Times New Roman"/>
          <w:b/>
          <w:bCs/>
          <w:color w:val="000000" w:themeColor="text1"/>
          <w:sz w:val="36"/>
          <w:szCs w:val="36"/>
          <w14:textFill>
            <w14:solidFill>
              <w14:schemeClr w14:val="tx1"/>
            </w14:solidFill>
          </w14:textFill>
        </w:rPr>
        <w:t>(</w:t>
      </w:r>
      <w:r>
        <w:rPr>
          <w:rFonts w:hint="eastAsia" w:ascii="Times New Roman" w:hAnsi="Times New Roman"/>
          <w:b/>
          <w:bCs/>
          <w:color w:val="000000" w:themeColor="text1"/>
          <w:sz w:val="36"/>
          <w:szCs w:val="36"/>
          <w:lang w:val="en-US" w:eastAsia="zh-CN"/>
          <w14:textFill>
            <w14:solidFill>
              <w14:schemeClr w14:val="tx1"/>
            </w14:solidFill>
          </w14:textFill>
        </w:rPr>
        <w:t>征求意见稿</w:t>
      </w:r>
      <w:r>
        <w:rPr>
          <w:rFonts w:ascii="Times New Roman" w:hAnsi="Times New Roman"/>
          <w:b/>
          <w:bCs/>
          <w:color w:val="000000" w:themeColor="text1"/>
          <w:sz w:val="36"/>
          <w:szCs w:val="36"/>
          <w14:textFill>
            <w14:solidFill>
              <w14:schemeClr w14:val="tx1"/>
            </w14:solidFill>
          </w14:textFill>
        </w:rPr>
        <w:t>)</w:t>
      </w:r>
    </w:p>
    <w:p w14:paraId="42609B94">
      <w:pPr>
        <w:ind w:firstLine="480"/>
        <w:jc w:val="center"/>
        <w:rPr>
          <w:rFonts w:ascii="Times New Roman" w:hAnsi="Times New Roman"/>
          <w:color w:val="000000" w:themeColor="text1"/>
          <w:sz w:val="32"/>
          <w14:textFill>
            <w14:solidFill>
              <w14:schemeClr w14:val="tx1"/>
            </w14:solidFill>
          </w14:textFill>
        </w:rPr>
      </w:pPr>
    </w:p>
    <w:p w14:paraId="5D5AF14A">
      <w:pPr>
        <w:ind w:firstLine="480"/>
        <w:jc w:val="center"/>
        <w:rPr>
          <w:rFonts w:ascii="Times New Roman" w:hAnsi="Times New Roman"/>
          <w:color w:val="000000" w:themeColor="text1"/>
          <w:sz w:val="32"/>
          <w14:textFill>
            <w14:solidFill>
              <w14:schemeClr w14:val="tx1"/>
            </w14:solidFill>
          </w14:textFill>
        </w:rPr>
      </w:pPr>
    </w:p>
    <w:p w14:paraId="5D2C4554">
      <w:pPr>
        <w:ind w:firstLine="480"/>
        <w:jc w:val="center"/>
        <w:rPr>
          <w:rFonts w:ascii="Times New Roman" w:hAnsi="Times New Roman"/>
          <w:color w:val="000000" w:themeColor="text1"/>
          <w:sz w:val="32"/>
          <w14:textFill>
            <w14:solidFill>
              <w14:schemeClr w14:val="tx1"/>
            </w14:solidFill>
          </w14:textFill>
        </w:rPr>
      </w:pPr>
    </w:p>
    <w:p w14:paraId="2209BE65">
      <w:pPr>
        <w:ind w:firstLine="480"/>
        <w:jc w:val="center"/>
        <w:rPr>
          <w:rFonts w:ascii="Times New Roman" w:hAnsi="Times New Roman"/>
          <w:color w:val="000000" w:themeColor="text1"/>
          <w:sz w:val="32"/>
          <w14:textFill>
            <w14:solidFill>
              <w14:schemeClr w14:val="tx1"/>
            </w14:solidFill>
          </w14:textFill>
        </w:rPr>
      </w:pPr>
    </w:p>
    <w:p w14:paraId="5843FE00">
      <w:pPr>
        <w:ind w:firstLine="480"/>
        <w:jc w:val="center"/>
        <w:rPr>
          <w:rFonts w:ascii="Times New Roman" w:hAnsi="Times New Roman"/>
          <w:color w:val="000000" w:themeColor="text1"/>
          <w:sz w:val="32"/>
          <w14:textFill>
            <w14:solidFill>
              <w14:schemeClr w14:val="tx1"/>
            </w14:solidFill>
          </w14:textFill>
        </w:rPr>
      </w:pPr>
    </w:p>
    <w:p w14:paraId="768B786B">
      <w:pPr>
        <w:ind w:firstLine="480"/>
        <w:jc w:val="center"/>
        <w:rPr>
          <w:rFonts w:ascii="Times New Roman" w:hAnsi="Times New Roman"/>
          <w:color w:val="000000" w:themeColor="text1"/>
          <w:sz w:val="32"/>
          <w14:textFill>
            <w14:solidFill>
              <w14:schemeClr w14:val="tx1"/>
            </w14:solidFill>
          </w14:textFill>
        </w:rPr>
      </w:pPr>
    </w:p>
    <w:p w14:paraId="6E98F70E">
      <w:pPr>
        <w:ind w:firstLine="480"/>
        <w:jc w:val="center"/>
        <w:rPr>
          <w:rFonts w:ascii="Times New Roman" w:hAnsi="Times New Roman"/>
          <w:color w:val="000000" w:themeColor="text1"/>
          <w:sz w:val="32"/>
          <w14:textFill>
            <w14:solidFill>
              <w14:schemeClr w14:val="tx1"/>
            </w14:solidFill>
          </w14:textFill>
        </w:rPr>
      </w:pPr>
    </w:p>
    <w:p w14:paraId="0A1629B5">
      <w:pPr>
        <w:ind w:firstLine="480"/>
        <w:jc w:val="center"/>
        <w:rPr>
          <w:rFonts w:ascii="Times New Roman" w:hAnsi="Times New Roman"/>
          <w:color w:val="000000" w:themeColor="text1"/>
          <w:sz w:val="32"/>
          <w14:textFill>
            <w14:solidFill>
              <w14:schemeClr w14:val="tx1"/>
            </w14:solidFill>
          </w14:textFill>
        </w:rPr>
      </w:pPr>
    </w:p>
    <w:p w14:paraId="3899E3C8">
      <w:pPr>
        <w:ind w:firstLine="480"/>
        <w:jc w:val="center"/>
        <w:rPr>
          <w:rFonts w:ascii="Times New Roman" w:hAnsi="Times New Roman"/>
          <w:color w:val="000000" w:themeColor="text1"/>
          <w:sz w:val="32"/>
          <w14:textFill>
            <w14:solidFill>
              <w14:schemeClr w14:val="tx1"/>
            </w14:solidFill>
          </w14:textFill>
        </w:rPr>
      </w:pPr>
    </w:p>
    <w:p w14:paraId="60B0C0AE">
      <w:pPr>
        <w:ind w:firstLine="480"/>
        <w:jc w:val="center"/>
        <w:rPr>
          <w:rFonts w:ascii="Times New Roman" w:hAnsi="Times New Roman"/>
          <w:color w:val="000000" w:themeColor="text1"/>
          <w:sz w:val="32"/>
          <w14:textFill>
            <w14:solidFill>
              <w14:schemeClr w14:val="tx1"/>
            </w14:solidFill>
          </w14:textFill>
        </w:rPr>
      </w:pPr>
    </w:p>
    <w:p w14:paraId="61CD179C">
      <w:pPr>
        <w:ind w:firstLine="480"/>
        <w:jc w:val="center"/>
        <w:rPr>
          <w:rFonts w:ascii="Times New Roman" w:hAnsi="Times New Roman"/>
          <w:color w:val="000000" w:themeColor="text1"/>
          <w:sz w:val="32"/>
          <w14:textFill>
            <w14:solidFill>
              <w14:schemeClr w14:val="tx1"/>
            </w14:solidFill>
          </w14:textFill>
        </w:rPr>
      </w:pPr>
    </w:p>
    <w:p w14:paraId="1968CBB6">
      <w:pPr>
        <w:ind w:firstLine="480"/>
        <w:jc w:val="center"/>
        <w:rPr>
          <w:rFonts w:ascii="Times New Roman" w:hAnsi="Times New Roman"/>
          <w:color w:val="000000" w:themeColor="text1"/>
          <w:sz w:val="24"/>
          <w:szCs w:val="24"/>
          <w14:textFill>
            <w14:solidFill>
              <w14:schemeClr w14:val="tx1"/>
            </w14:solidFill>
          </w14:textFill>
        </w:rPr>
      </w:pPr>
      <w:r>
        <w:rPr>
          <w:rFonts w:ascii="Times New Roman"/>
          <w:b/>
          <w:bCs/>
          <w:color w:val="000000" w:themeColor="text1"/>
          <w:sz w:val="24"/>
          <w:szCs w:val="24"/>
          <w14:textFill>
            <w14:solidFill>
              <w14:schemeClr w14:val="tx1"/>
            </w14:solidFill>
          </w14:textFill>
        </w:rPr>
        <w:t>《</w:t>
      </w:r>
      <w:r>
        <w:rPr>
          <w:rFonts w:hint="eastAsia" w:ascii="Times New Roman"/>
          <w:b/>
          <w:bCs/>
          <w:color w:val="000000" w:themeColor="text1"/>
          <w:sz w:val="24"/>
          <w:szCs w:val="24"/>
          <w14:textFill>
            <w14:solidFill>
              <w14:schemeClr w14:val="tx1"/>
            </w14:solidFill>
          </w14:textFill>
        </w:rPr>
        <w:t>钢铁工业大气污染控制技术规范</w:t>
      </w:r>
      <w:r>
        <w:rPr>
          <w:rFonts w:ascii="Times New Roman" w:hAnsi="宋体"/>
          <w:b/>
          <w:bCs/>
          <w:color w:val="000000" w:themeColor="text1"/>
          <w:sz w:val="24"/>
          <w:szCs w:val="24"/>
          <w14:textFill>
            <w14:solidFill>
              <w14:schemeClr w14:val="tx1"/>
            </w14:solidFill>
          </w14:textFill>
        </w:rPr>
        <w:t>》</w:t>
      </w:r>
      <w:r>
        <w:rPr>
          <w:rFonts w:ascii="Times New Roman"/>
          <w:b/>
          <w:bCs/>
          <w:color w:val="000000" w:themeColor="text1"/>
          <w:sz w:val="24"/>
          <w:szCs w:val="24"/>
          <w14:textFill>
            <w14:solidFill>
              <w14:schemeClr w14:val="tx1"/>
            </w14:solidFill>
          </w14:textFill>
        </w:rPr>
        <w:t>编制组</w:t>
      </w:r>
    </w:p>
    <w:p w14:paraId="29550EAC">
      <w:pPr>
        <w:jc w:val="center"/>
        <w:rPr>
          <w:rFonts w:ascii="Times New Roman" w:hAnsi="宋体"/>
          <w:b/>
          <w:bCs/>
          <w:color w:val="000000" w:themeColor="text1"/>
          <w:sz w:val="24"/>
          <w14:textFill>
            <w14:solidFill>
              <w14:schemeClr w14:val="tx1"/>
            </w14:solidFill>
          </w14:textFill>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type="lines" w:linePitch="312" w:charSpace="0"/>
        </w:sectPr>
      </w:pPr>
      <w:r>
        <w:rPr>
          <w:rFonts w:ascii="Times New Roman" w:hAnsi="Times New Roman"/>
          <w:b/>
          <w:bCs/>
          <w:color w:val="000000" w:themeColor="text1"/>
          <w:sz w:val="24"/>
          <w14:textFill>
            <w14:solidFill>
              <w14:schemeClr w14:val="tx1"/>
            </w14:solidFill>
          </w14:textFill>
        </w:rPr>
        <w:t>202</w:t>
      </w:r>
      <w:r>
        <w:rPr>
          <w:rFonts w:hint="eastAsia" w:ascii="Times New Roman" w:hAnsi="Times New Roman"/>
          <w:b/>
          <w:bCs/>
          <w:color w:val="000000" w:themeColor="text1"/>
          <w:sz w:val="24"/>
          <w:lang w:val="en-US" w:eastAsia="zh-CN"/>
          <w14:textFill>
            <w14:solidFill>
              <w14:schemeClr w14:val="tx1"/>
            </w14:solidFill>
          </w14:textFill>
        </w:rPr>
        <w:t>5</w:t>
      </w:r>
      <w:r>
        <w:rPr>
          <w:rFonts w:ascii="Times New Roman" w:hAnsi="宋体"/>
          <w:b/>
          <w:bCs/>
          <w:color w:val="000000" w:themeColor="text1"/>
          <w:sz w:val="24"/>
          <w14:textFill>
            <w14:solidFill>
              <w14:schemeClr w14:val="tx1"/>
            </w14:solidFill>
          </w14:textFill>
        </w:rPr>
        <w:t>年</w:t>
      </w:r>
      <w:r>
        <w:rPr>
          <w:rFonts w:hint="eastAsia" w:ascii="Times New Roman" w:hAnsi="宋体"/>
          <w:b/>
          <w:bCs/>
          <w:color w:val="000000" w:themeColor="text1"/>
          <w:sz w:val="24"/>
          <w:lang w:val="en-US" w:eastAsia="zh-CN"/>
          <w14:textFill>
            <w14:solidFill>
              <w14:schemeClr w14:val="tx1"/>
            </w14:solidFill>
          </w14:textFill>
        </w:rPr>
        <w:t>10</w:t>
      </w:r>
      <w:bookmarkStart w:id="38" w:name="_GoBack"/>
      <w:bookmarkEnd w:id="38"/>
      <w:r>
        <w:rPr>
          <w:rFonts w:ascii="Times New Roman" w:hAnsi="宋体"/>
          <w:b/>
          <w:bCs/>
          <w:color w:val="000000" w:themeColor="text1"/>
          <w:sz w:val="24"/>
          <w14:textFill>
            <w14:solidFill>
              <w14:schemeClr w14:val="tx1"/>
            </w14:solidFill>
          </w14:textFill>
        </w:rPr>
        <w:t>月</w:t>
      </w:r>
    </w:p>
    <w:p w14:paraId="6A86C6A1">
      <w:pPr>
        <w:spacing w:line="360" w:lineRule="auto"/>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t>目录</w:t>
      </w:r>
    </w:p>
    <w:p w14:paraId="54B2B34A">
      <w:pPr>
        <w:spacing w:line="360" w:lineRule="auto"/>
        <w:rPr>
          <w:rFonts w:ascii="Times New Roman" w:hAnsi="Times New Roman"/>
          <w:color w:val="000000" w:themeColor="text1"/>
          <w:sz w:val="24"/>
          <w:highlight w:val="magenta"/>
          <w14:textFill>
            <w14:solidFill>
              <w14:schemeClr w14:val="tx1"/>
            </w14:solidFill>
          </w14:textFill>
        </w:rPr>
      </w:pPr>
    </w:p>
    <w:p w14:paraId="0CB00678">
      <w:pPr>
        <w:pStyle w:val="12"/>
        <w:tabs>
          <w:tab w:val="right" w:leader="dot" w:pos="8306"/>
        </w:tabs>
      </w:pPr>
      <w:r>
        <w:rPr>
          <w:rFonts w:eastAsiaTheme="minorEastAsia"/>
          <w:color w:val="000000" w:themeColor="text1"/>
          <w:szCs w:val="21"/>
          <w:highlight w:val="magenta"/>
          <w14:textFill>
            <w14:solidFill>
              <w14:schemeClr w14:val="tx1"/>
            </w14:solidFill>
          </w14:textFill>
        </w:rPr>
        <w:fldChar w:fldCharType="begin"/>
      </w:r>
      <w:r>
        <w:rPr>
          <w:rFonts w:eastAsiaTheme="minorEastAsia"/>
          <w:color w:val="000000" w:themeColor="text1"/>
          <w:szCs w:val="21"/>
          <w:highlight w:val="magenta"/>
          <w14:textFill>
            <w14:solidFill>
              <w14:schemeClr w14:val="tx1"/>
            </w14:solidFill>
          </w14:textFill>
        </w:rPr>
        <w:instrText xml:space="preserve"> TOC \o "1-1" \h \z \u </w:instrText>
      </w:r>
      <w:r>
        <w:rPr>
          <w:rFonts w:eastAsiaTheme="minorEastAsia"/>
          <w:color w:val="000000" w:themeColor="text1"/>
          <w:szCs w:val="21"/>
          <w:highlight w:val="magenta"/>
          <w14:textFill>
            <w14:solidFill>
              <w14:schemeClr w14:val="tx1"/>
            </w14:solidFill>
          </w14:textFill>
        </w:rPr>
        <w:fldChar w:fldCharType="separate"/>
      </w:r>
      <w:r>
        <w:rPr>
          <w:rFonts w:eastAsiaTheme="minorEastAsia"/>
          <w:color w:val="000000" w:themeColor="text1"/>
          <w:szCs w:val="21"/>
          <w:highlight w:val="magenta"/>
          <w14:textFill>
            <w14:solidFill>
              <w14:schemeClr w14:val="tx1"/>
            </w14:solidFill>
          </w14:textFill>
        </w:rPr>
        <w:fldChar w:fldCharType="begin"/>
      </w:r>
      <w:r>
        <w:rPr>
          <w:rFonts w:eastAsiaTheme="minorEastAsia"/>
          <w:szCs w:val="21"/>
          <w:highlight w:val="magenta"/>
        </w:rPr>
        <w:instrText xml:space="preserve"> HYPERLINK \l _Toc25372 </w:instrText>
      </w:r>
      <w:r>
        <w:rPr>
          <w:rFonts w:eastAsiaTheme="minorEastAsia"/>
          <w:szCs w:val="21"/>
          <w:highlight w:val="magenta"/>
        </w:rPr>
        <w:fldChar w:fldCharType="separate"/>
      </w:r>
      <w:r>
        <w:rPr>
          <w:rFonts w:hint="default"/>
          <w:lang w:val="en-US" w:eastAsia="zh-CN"/>
        </w:rPr>
        <w:t>1.</w:t>
      </w:r>
      <w:r>
        <w:rPr>
          <w:rFonts w:hint="eastAsia"/>
          <w:lang w:val="en-US" w:eastAsia="zh-CN"/>
        </w:rPr>
        <w:t>项目背景</w:t>
      </w:r>
      <w:r>
        <w:tab/>
      </w:r>
      <w:r>
        <w:fldChar w:fldCharType="begin"/>
      </w:r>
      <w:r>
        <w:instrText xml:space="preserve"> PAGEREF _Toc25372 \h </w:instrText>
      </w:r>
      <w:r>
        <w:fldChar w:fldCharType="separate"/>
      </w:r>
      <w:r>
        <w:t>3</w:t>
      </w:r>
      <w:r>
        <w:fldChar w:fldCharType="end"/>
      </w:r>
      <w:r>
        <w:rPr>
          <w:rFonts w:eastAsiaTheme="minorEastAsia"/>
          <w:color w:val="000000" w:themeColor="text1"/>
          <w:szCs w:val="21"/>
          <w:highlight w:val="magenta"/>
          <w14:textFill>
            <w14:solidFill>
              <w14:schemeClr w14:val="tx1"/>
            </w14:solidFill>
          </w14:textFill>
        </w:rPr>
        <w:fldChar w:fldCharType="end"/>
      </w:r>
    </w:p>
    <w:p w14:paraId="55B5F489">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_Toc10298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1.1任务来源</w:t>
      </w:r>
      <w:r>
        <w:tab/>
      </w:r>
      <w:r>
        <w:fldChar w:fldCharType="begin"/>
      </w:r>
      <w:r>
        <w:instrText xml:space="preserve"> PAGEREF _Toc10298 \h </w:instrText>
      </w:r>
      <w:r>
        <w:fldChar w:fldCharType="separate"/>
      </w:r>
      <w:r>
        <w:t>3</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2EC0A4DA">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_Toc22258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1.2主要工作过程</w:t>
      </w:r>
      <w:r>
        <w:tab/>
      </w:r>
      <w:r>
        <w:fldChar w:fldCharType="begin"/>
      </w:r>
      <w:r>
        <w:instrText xml:space="preserve"> PAGEREF _Toc22258 \h </w:instrText>
      </w:r>
      <w:r>
        <w:fldChar w:fldCharType="separate"/>
      </w:r>
      <w:r>
        <w:t>3</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2128D931">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_Toc9663 </w:instrText>
      </w:r>
      <w:r>
        <w:rPr>
          <w:rFonts w:ascii="Times New Roman" w:hAnsi="Times New Roman" w:eastAsiaTheme="minorEastAsia"/>
          <w:szCs w:val="21"/>
          <w:highlight w:val="magenta"/>
        </w:rPr>
        <w:fldChar w:fldCharType="separate"/>
      </w:r>
      <w:r>
        <w:rPr>
          <w:rFonts w:hint="default"/>
        </w:rPr>
        <w:t>2.</w:t>
      </w:r>
      <w:r>
        <w:t>钢铁工业现状及发展趋势</w:t>
      </w:r>
      <w:r>
        <w:tab/>
      </w:r>
      <w:r>
        <w:fldChar w:fldCharType="begin"/>
      </w:r>
      <w:r>
        <w:instrText xml:space="preserve"> PAGEREF _Toc9663 \h </w:instrText>
      </w:r>
      <w:r>
        <w:fldChar w:fldCharType="separate"/>
      </w:r>
      <w:r>
        <w:t>4</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6F34E21E">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_Toc26856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2.1甘肃省及国内钢铁工业现状、发展趋势</w:t>
      </w:r>
      <w:r>
        <w:tab/>
      </w:r>
      <w:r>
        <w:fldChar w:fldCharType="begin"/>
      </w:r>
      <w:r>
        <w:instrText xml:space="preserve"> PAGEREF _Toc26856 \h </w:instrText>
      </w:r>
      <w:r>
        <w:fldChar w:fldCharType="separate"/>
      </w:r>
      <w:r>
        <w:t>4</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1774AE9E">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_Toc3949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2.2国际钢铁行业现状及绿色发展趋势</w:t>
      </w:r>
      <w:r>
        <w:tab/>
      </w:r>
      <w:r>
        <w:fldChar w:fldCharType="begin"/>
      </w:r>
      <w:r>
        <w:instrText xml:space="preserve"> PAGEREF _Toc3949 \h </w:instrText>
      </w:r>
      <w:r>
        <w:fldChar w:fldCharType="separate"/>
      </w:r>
      <w:r>
        <w:t>6</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23E318C6">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_Toc4046 </w:instrText>
      </w:r>
      <w:r>
        <w:rPr>
          <w:rFonts w:ascii="Times New Roman" w:hAnsi="Times New Roman" w:eastAsiaTheme="minorEastAsia"/>
          <w:szCs w:val="21"/>
          <w:highlight w:val="magenta"/>
        </w:rPr>
        <w:fldChar w:fldCharType="separate"/>
      </w:r>
      <w:r>
        <w:rPr>
          <w:rFonts w:hint="default"/>
        </w:rPr>
        <w:t>3.</w:t>
      </w:r>
      <w:r>
        <w:rPr>
          <w:rFonts w:hint="eastAsia"/>
        </w:rPr>
        <w:t>标准制定的必要性</w:t>
      </w:r>
      <w:r>
        <w:tab/>
      </w:r>
      <w:r>
        <w:fldChar w:fldCharType="begin"/>
      </w:r>
      <w:r>
        <w:instrText xml:space="preserve"> PAGEREF _Toc4046 \h </w:instrText>
      </w:r>
      <w:r>
        <w:fldChar w:fldCharType="separate"/>
      </w:r>
      <w:r>
        <w:t>7</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229BBE38">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_Toc9997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3.1国家及生态环境主管部门相关要求</w:t>
      </w:r>
      <w:r>
        <w:tab/>
      </w:r>
      <w:r>
        <w:fldChar w:fldCharType="begin"/>
      </w:r>
      <w:r>
        <w:instrText xml:space="preserve"> PAGEREF _Toc9997 \h </w:instrText>
      </w:r>
      <w:r>
        <w:fldChar w:fldCharType="separate"/>
      </w:r>
      <w:r>
        <w:t>7</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43170BBA">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_Toc31642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3.2</w:t>
      </w:r>
      <w:r>
        <w:rPr>
          <w:rFonts w:hint="default" w:ascii="Times New Roman" w:hAnsi="Times New Roman" w:cs="Times New Roman"/>
          <w:lang w:val="en-US" w:eastAsia="zh-CN"/>
        </w:rPr>
        <w:t>甘肃省有关</w:t>
      </w:r>
      <w:r>
        <w:rPr>
          <w:rFonts w:hint="eastAsia" w:ascii="Times New Roman" w:hAnsi="Times New Roman" w:cs="Times New Roman"/>
          <w:lang w:val="en-US" w:eastAsia="zh-CN"/>
        </w:rPr>
        <w:t>钢铁</w:t>
      </w:r>
      <w:r>
        <w:rPr>
          <w:rFonts w:hint="default" w:ascii="Times New Roman" w:hAnsi="Times New Roman" w:cs="Times New Roman"/>
          <w:lang w:val="en-US" w:eastAsia="zh-CN"/>
        </w:rPr>
        <w:t>行业的要求</w:t>
      </w:r>
      <w:r>
        <w:tab/>
      </w:r>
      <w:r>
        <w:fldChar w:fldCharType="begin"/>
      </w:r>
      <w:r>
        <w:instrText xml:space="preserve"> PAGEREF _Toc31642 \h </w:instrText>
      </w:r>
      <w:r>
        <w:fldChar w:fldCharType="separate"/>
      </w:r>
      <w:r>
        <w:t>8</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5A6DEC9C">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_Toc17605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3.3环境空气质量改善的迫切需求</w:t>
      </w:r>
      <w:r>
        <w:tab/>
      </w:r>
      <w:r>
        <w:fldChar w:fldCharType="begin"/>
      </w:r>
      <w:r>
        <w:instrText xml:space="preserve"> PAGEREF _Toc17605 \h </w:instrText>
      </w:r>
      <w:r>
        <w:fldChar w:fldCharType="separate"/>
      </w:r>
      <w:r>
        <w:t>8</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6AE57EF0">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_Toc5051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3.4现行环保标准存在的主要问题</w:t>
      </w:r>
      <w:r>
        <w:tab/>
      </w:r>
      <w:r>
        <w:fldChar w:fldCharType="begin"/>
      </w:r>
      <w:r>
        <w:instrText xml:space="preserve"> PAGEREF _Toc5051 \h </w:instrText>
      </w:r>
      <w:r>
        <w:fldChar w:fldCharType="separate"/>
      </w:r>
      <w:r>
        <w:t>8</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3B05E924">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_Toc27302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3.5国内各省的响应示范</w:t>
      </w:r>
      <w:r>
        <w:tab/>
      </w:r>
      <w:r>
        <w:fldChar w:fldCharType="begin"/>
      </w:r>
      <w:r>
        <w:instrText xml:space="preserve"> PAGEREF _Toc27302 \h </w:instrText>
      </w:r>
      <w:r>
        <w:fldChar w:fldCharType="separate"/>
      </w:r>
      <w:r>
        <w:t>9</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5FA713C8">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_Toc4341 </w:instrText>
      </w:r>
      <w:r>
        <w:rPr>
          <w:rFonts w:ascii="Times New Roman" w:hAnsi="Times New Roman" w:eastAsiaTheme="minorEastAsia"/>
          <w:szCs w:val="21"/>
          <w:highlight w:val="magenta"/>
        </w:rPr>
        <w:fldChar w:fldCharType="separate"/>
      </w:r>
      <w:r>
        <w:rPr>
          <w:rFonts w:hint="default"/>
        </w:rPr>
        <w:t>4.</w:t>
      </w:r>
      <w:r>
        <w:t>钢铁工业大气污染物产排污情况及控制技术</w:t>
      </w:r>
      <w:r>
        <w:tab/>
      </w:r>
      <w:r>
        <w:fldChar w:fldCharType="begin"/>
      </w:r>
      <w:r>
        <w:instrText xml:space="preserve"> PAGEREF _Toc4341 \h </w:instrText>
      </w:r>
      <w:r>
        <w:fldChar w:fldCharType="separate"/>
      </w:r>
      <w:r>
        <w:t>10</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0C3A8E7E">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_Toc31113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4.1钢铁工业主要生产工艺及产排污情况</w:t>
      </w:r>
      <w:r>
        <w:tab/>
      </w:r>
      <w:r>
        <w:fldChar w:fldCharType="begin"/>
      </w:r>
      <w:r>
        <w:instrText xml:space="preserve"> PAGEREF _Toc31113 \h </w:instrText>
      </w:r>
      <w:r>
        <w:fldChar w:fldCharType="separate"/>
      </w:r>
      <w:r>
        <w:t>10</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387BB654">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_Toc22327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4.2钢铁工业主要有毒有害污染物特性</w:t>
      </w:r>
      <w:r>
        <w:tab/>
      </w:r>
      <w:r>
        <w:fldChar w:fldCharType="begin"/>
      </w:r>
      <w:r>
        <w:instrText xml:space="preserve"> PAGEREF _Toc22327 \h </w:instrText>
      </w:r>
      <w:r>
        <w:fldChar w:fldCharType="separate"/>
      </w:r>
      <w:r>
        <w:t>31</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34F9358D">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_Toc14877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4.3钢铁工业大气污染防治存在的问题</w:t>
      </w:r>
      <w:r>
        <w:tab/>
      </w:r>
      <w:r>
        <w:fldChar w:fldCharType="begin"/>
      </w:r>
      <w:r>
        <w:instrText xml:space="preserve"> PAGEREF _Toc14877 \h </w:instrText>
      </w:r>
      <w:r>
        <w:fldChar w:fldCharType="separate"/>
      </w:r>
      <w:r>
        <w:t>31</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374CFE28">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_Toc5898 </w:instrText>
      </w:r>
      <w:r>
        <w:rPr>
          <w:rFonts w:ascii="Times New Roman" w:hAnsi="Times New Roman" w:eastAsiaTheme="minorEastAsia"/>
          <w:szCs w:val="21"/>
          <w:highlight w:val="magenta"/>
        </w:rPr>
        <w:fldChar w:fldCharType="separate"/>
      </w:r>
      <w:r>
        <w:rPr>
          <w:rFonts w:hint="default"/>
        </w:rPr>
        <w:t>5.</w:t>
      </w:r>
      <w:r>
        <w:t>标准主</w:t>
      </w:r>
      <w:r>
        <w:rPr>
          <w:rFonts w:hint="eastAsia"/>
        </w:rPr>
        <w:t>要技术内容及确定依据</w:t>
      </w:r>
      <w:r>
        <w:tab/>
      </w:r>
      <w:r>
        <w:fldChar w:fldCharType="begin"/>
      </w:r>
      <w:r>
        <w:instrText xml:space="preserve"> PAGEREF _Toc5898 \h </w:instrText>
      </w:r>
      <w:r>
        <w:fldChar w:fldCharType="separate"/>
      </w:r>
      <w:r>
        <w:t>33</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51B475FE">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_Toc17168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5.1标准主要技术内容</w:t>
      </w:r>
      <w:r>
        <w:tab/>
      </w:r>
      <w:r>
        <w:fldChar w:fldCharType="begin"/>
      </w:r>
      <w:r>
        <w:instrText xml:space="preserve"> PAGEREF _Toc17168 \h </w:instrText>
      </w:r>
      <w:r>
        <w:fldChar w:fldCharType="separate"/>
      </w:r>
      <w:r>
        <w:t>33</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28A463D8">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_Toc15242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5.2技术内容确定依据</w:t>
      </w:r>
      <w:r>
        <w:tab/>
      </w:r>
      <w:r>
        <w:fldChar w:fldCharType="begin"/>
      </w:r>
      <w:r>
        <w:instrText xml:space="preserve"> PAGEREF _Toc15242 \h </w:instrText>
      </w:r>
      <w:r>
        <w:fldChar w:fldCharType="separate"/>
      </w:r>
      <w:r>
        <w:t>34</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10732E5F">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_Toc19885 </w:instrText>
      </w:r>
      <w:r>
        <w:rPr>
          <w:rFonts w:ascii="Times New Roman" w:hAnsi="Times New Roman" w:eastAsiaTheme="minorEastAsia"/>
          <w:szCs w:val="21"/>
          <w:highlight w:val="magenta"/>
        </w:rPr>
        <w:fldChar w:fldCharType="separate"/>
      </w:r>
      <w:r>
        <w:rPr>
          <w:rFonts w:hint="default"/>
          <w:lang w:val="en-US" w:eastAsia="zh-CN"/>
        </w:rPr>
        <w:t>6.国际</w:t>
      </w:r>
      <w:r>
        <w:rPr>
          <w:rFonts w:hint="eastAsia"/>
          <w:lang w:val="en-US" w:eastAsia="zh-CN"/>
        </w:rPr>
        <w:t>、</w:t>
      </w:r>
      <w:r>
        <w:rPr>
          <w:rFonts w:hint="default"/>
          <w:lang w:val="en-US" w:eastAsia="zh-CN"/>
        </w:rPr>
        <w:t>国家</w:t>
      </w:r>
      <w:r>
        <w:rPr>
          <w:rFonts w:hint="eastAsia"/>
          <w:lang w:val="en-US" w:eastAsia="zh-CN"/>
        </w:rPr>
        <w:t>及</w:t>
      </w:r>
      <w:r>
        <w:rPr>
          <w:rFonts w:hint="default"/>
          <w:lang w:val="en-US" w:eastAsia="zh-CN"/>
        </w:rPr>
        <w:t>地区相关标准研究</w:t>
      </w:r>
      <w:r>
        <w:tab/>
      </w:r>
      <w:r>
        <w:fldChar w:fldCharType="begin"/>
      </w:r>
      <w:r>
        <w:instrText xml:space="preserve"> PAGEREF _Toc19885 \h </w:instrText>
      </w:r>
      <w:r>
        <w:fldChar w:fldCharType="separate"/>
      </w:r>
      <w:r>
        <w:t>35</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62D9292A">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_Toc4353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6.1</w:t>
      </w:r>
      <w:r>
        <w:rPr>
          <w:rFonts w:hint="default" w:ascii="Times New Roman" w:hAnsi="Times New Roman" w:cs="Times New Roman"/>
          <w:lang w:val="en-US" w:eastAsia="zh-CN"/>
        </w:rPr>
        <w:t>国际相关标准</w:t>
      </w:r>
      <w:r>
        <w:rPr>
          <w:rFonts w:hint="eastAsia" w:ascii="Times New Roman" w:hAnsi="Times New Roman" w:cs="Times New Roman"/>
          <w:lang w:val="en-US" w:eastAsia="zh-CN"/>
        </w:rPr>
        <w:t>研究</w:t>
      </w:r>
      <w:r>
        <w:tab/>
      </w:r>
      <w:r>
        <w:fldChar w:fldCharType="begin"/>
      </w:r>
      <w:r>
        <w:instrText xml:space="preserve"> PAGEREF _Toc4353 \h </w:instrText>
      </w:r>
      <w:r>
        <w:fldChar w:fldCharType="separate"/>
      </w:r>
      <w:r>
        <w:t>35</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7CB03FEA">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_Toc21625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6.2国家相关标准研究</w:t>
      </w:r>
      <w:r>
        <w:tab/>
      </w:r>
      <w:r>
        <w:fldChar w:fldCharType="begin"/>
      </w:r>
      <w:r>
        <w:instrText xml:space="preserve"> PAGEREF _Toc21625 \h </w:instrText>
      </w:r>
      <w:r>
        <w:fldChar w:fldCharType="separate"/>
      </w:r>
      <w:r>
        <w:t>36</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1AFADB1A">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_Toc12713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6.3地方相关标准研究</w:t>
      </w:r>
      <w:r>
        <w:tab/>
      </w:r>
      <w:r>
        <w:fldChar w:fldCharType="begin"/>
      </w:r>
      <w:r>
        <w:instrText xml:space="preserve"> PAGEREF _Toc12713 \h </w:instrText>
      </w:r>
      <w:r>
        <w:fldChar w:fldCharType="separate"/>
      </w:r>
      <w:r>
        <w:t>37</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25A383CA">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_Toc29574 </w:instrText>
      </w:r>
      <w:r>
        <w:rPr>
          <w:rFonts w:ascii="Times New Roman" w:hAnsi="Times New Roman" w:eastAsiaTheme="minorEastAsia"/>
          <w:szCs w:val="21"/>
          <w:highlight w:val="magenta"/>
        </w:rPr>
        <w:fldChar w:fldCharType="separate"/>
      </w:r>
      <w:r>
        <w:rPr>
          <w:rFonts w:hint="default"/>
          <w:lang w:val="en-US" w:eastAsia="zh-CN"/>
        </w:rPr>
        <w:t>7.</w:t>
      </w:r>
      <w:r>
        <w:rPr>
          <w:rFonts w:hint="eastAsia"/>
          <w:lang w:val="en-US" w:eastAsia="zh-CN"/>
        </w:rPr>
        <w:t>本标准实施的可行性分析</w:t>
      </w:r>
      <w:r>
        <w:tab/>
      </w:r>
      <w:r>
        <w:fldChar w:fldCharType="begin"/>
      </w:r>
      <w:r>
        <w:instrText xml:space="preserve"> PAGEREF _Toc29574 \h </w:instrText>
      </w:r>
      <w:r>
        <w:fldChar w:fldCharType="separate"/>
      </w:r>
      <w:r>
        <w:t>38</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7A39145B">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_Toc28950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7.1环境效益、社会效益分析</w:t>
      </w:r>
      <w:r>
        <w:tab/>
      </w:r>
      <w:r>
        <w:fldChar w:fldCharType="begin"/>
      </w:r>
      <w:r>
        <w:instrText xml:space="preserve"> PAGEREF _Toc28950 \h </w:instrText>
      </w:r>
      <w:r>
        <w:fldChar w:fldCharType="separate"/>
      </w:r>
      <w:r>
        <w:t>38</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3AE85482">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_Toc156 </w:instrText>
      </w:r>
      <w:r>
        <w:rPr>
          <w:rFonts w:ascii="Times New Roman" w:hAnsi="Times New Roman" w:eastAsiaTheme="minorEastAsia"/>
          <w:szCs w:val="21"/>
          <w:highlight w:val="magenta"/>
        </w:rPr>
        <w:fldChar w:fldCharType="separate"/>
      </w:r>
      <w:r>
        <w:rPr>
          <w:rFonts w:hint="eastAsia" w:ascii="Times New Roman" w:hAnsi="Times New Roman" w:cs="Times New Roman"/>
          <w:lang w:val="en-US" w:eastAsia="zh-CN"/>
        </w:rPr>
        <w:t>7.2技术经济可行性分析</w:t>
      </w:r>
      <w:r>
        <w:tab/>
      </w:r>
      <w:r>
        <w:fldChar w:fldCharType="begin"/>
      </w:r>
      <w:r>
        <w:instrText xml:space="preserve"> PAGEREF _Toc156 \h </w:instrText>
      </w:r>
      <w:r>
        <w:fldChar w:fldCharType="separate"/>
      </w:r>
      <w:r>
        <w:t>39</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5EB6C223">
      <w:pPr>
        <w:pStyle w:val="12"/>
        <w:tabs>
          <w:tab w:val="right" w:leader="dot" w:pos="8306"/>
        </w:tabs>
      </w:pPr>
      <w:r>
        <w:rPr>
          <w:rFonts w:ascii="Times New Roman" w:hAnsi="Times New Roman" w:eastAsiaTheme="minorEastAsia"/>
          <w:color w:val="000000" w:themeColor="text1"/>
          <w:szCs w:val="21"/>
          <w:highlight w:val="magenta"/>
          <w14:textFill>
            <w14:solidFill>
              <w14:schemeClr w14:val="tx1"/>
            </w14:solidFill>
          </w14:textFill>
        </w:rPr>
        <w:fldChar w:fldCharType="begin"/>
      </w:r>
      <w:r>
        <w:rPr>
          <w:rFonts w:ascii="Times New Roman" w:hAnsi="Times New Roman" w:eastAsiaTheme="minorEastAsia"/>
          <w:szCs w:val="21"/>
          <w:highlight w:val="magenta"/>
        </w:rPr>
        <w:instrText xml:space="preserve"> HYPERLINK \l _Toc1114 </w:instrText>
      </w:r>
      <w:r>
        <w:rPr>
          <w:rFonts w:ascii="Times New Roman" w:hAnsi="Times New Roman" w:eastAsiaTheme="minorEastAsia"/>
          <w:szCs w:val="21"/>
          <w:highlight w:val="magenta"/>
        </w:rPr>
        <w:fldChar w:fldCharType="separate"/>
      </w:r>
      <w:r>
        <w:rPr>
          <w:rFonts w:hint="default"/>
          <w:lang w:val="en-US" w:eastAsia="zh-CN"/>
        </w:rPr>
        <w:t>8.</w:t>
      </w:r>
      <w:r>
        <w:rPr>
          <w:rFonts w:hint="eastAsia"/>
          <w:lang w:val="en-US" w:eastAsia="zh-CN"/>
        </w:rPr>
        <w:t>标准实施的建议</w:t>
      </w:r>
      <w:r>
        <w:tab/>
      </w:r>
      <w:r>
        <w:fldChar w:fldCharType="begin"/>
      </w:r>
      <w:r>
        <w:instrText xml:space="preserve"> PAGEREF _Toc1114 \h </w:instrText>
      </w:r>
      <w:r>
        <w:fldChar w:fldCharType="separate"/>
      </w:r>
      <w:r>
        <w:t>40</w:t>
      </w:r>
      <w:r>
        <w:fldChar w:fldCharType="end"/>
      </w: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0BD35E7C">
      <w:pPr>
        <w:spacing w:line="360" w:lineRule="auto"/>
        <w:jc w:val="center"/>
        <w:rPr>
          <w:rFonts w:ascii="Times New Roman" w:hAnsi="Times New Roman" w:eastAsiaTheme="minorEastAsia"/>
          <w:color w:val="000000" w:themeColor="text1"/>
          <w:szCs w:val="2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type="lines" w:linePitch="312" w:charSpace="0"/>
        </w:sectPr>
      </w:pPr>
      <w:r>
        <w:rPr>
          <w:rFonts w:ascii="Times New Roman" w:hAnsi="Times New Roman" w:eastAsiaTheme="minorEastAsia"/>
          <w:color w:val="000000" w:themeColor="text1"/>
          <w:szCs w:val="21"/>
          <w:highlight w:val="magenta"/>
          <w14:textFill>
            <w14:solidFill>
              <w14:schemeClr w14:val="tx1"/>
            </w14:solidFill>
          </w14:textFill>
        </w:rPr>
        <w:fldChar w:fldCharType="end"/>
      </w:r>
    </w:p>
    <w:p w14:paraId="09E26EAE">
      <w:pPr>
        <w:spacing w:line="360" w:lineRule="auto"/>
        <w:jc w:val="center"/>
        <w:rPr>
          <w:rFonts w:ascii="Times New Roman" w:hAnsi="Times New Roman" w:eastAsia="黑体"/>
          <w:b/>
          <w:color w:val="000000" w:themeColor="text1"/>
          <w:sz w:val="28"/>
          <w:szCs w:val="28"/>
          <w14:textFill>
            <w14:solidFill>
              <w14:schemeClr w14:val="tx1"/>
            </w14:solidFill>
          </w14:textFill>
        </w:rPr>
      </w:pPr>
      <w:r>
        <w:rPr>
          <w:rFonts w:ascii="Times New Roman" w:hAnsi="黑体" w:eastAsia="黑体"/>
          <w:b/>
          <w:color w:val="000000" w:themeColor="text1"/>
          <w:sz w:val="28"/>
          <w:szCs w:val="28"/>
          <w14:textFill>
            <w14:solidFill>
              <w14:schemeClr w14:val="tx1"/>
            </w14:solidFill>
          </w14:textFill>
        </w:rPr>
        <w:t>《</w:t>
      </w:r>
      <w:r>
        <w:rPr>
          <w:rFonts w:hint="eastAsia" w:ascii="Times New Roman" w:hAnsi="黑体" w:eastAsia="黑体"/>
          <w:b/>
          <w:color w:val="000000" w:themeColor="text1"/>
          <w:sz w:val="28"/>
          <w:szCs w:val="28"/>
          <w:lang w:eastAsia="zh-CN"/>
          <w14:textFill>
            <w14:solidFill>
              <w14:schemeClr w14:val="tx1"/>
            </w14:solidFill>
          </w14:textFill>
        </w:rPr>
        <w:t>钢铁工业大气污染控制技术规范</w:t>
      </w:r>
      <w:r>
        <w:rPr>
          <w:rFonts w:ascii="Times New Roman" w:hAnsi="黑体" w:eastAsia="黑体"/>
          <w:b/>
          <w:color w:val="000000" w:themeColor="text1"/>
          <w:sz w:val="28"/>
          <w:szCs w:val="28"/>
          <w14:textFill>
            <w14:solidFill>
              <w14:schemeClr w14:val="tx1"/>
            </w14:solidFill>
          </w14:textFill>
        </w:rPr>
        <w:t>》</w:t>
      </w:r>
    </w:p>
    <w:p w14:paraId="6FD2DED2">
      <w:pPr>
        <w:spacing w:line="360" w:lineRule="auto"/>
        <w:jc w:val="center"/>
        <w:rPr>
          <w:rFonts w:ascii="Times New Roman" w:hAnsi="Times New Roman" w:eastAsia="黑体"/>
          <w:b/>
          <w:color w:val="000000" w:themeColor="text1"/>
          <w:sz w:val="28"/>
          <w:szCs w:val="28"/>
          <w14:textFill>
            <w14:solidFill>
              <w14:schemeClr w14:val="tx1"/>
            </w14:solidFill>
          </w14:textFill>
        </w:rPr>
      </w:pPr>
      <w:r>
        <w:rPr>
          <w:rFonts w:ascii="Times New Roman" w:hAnsi="黑体" w:eastAsia="黑体"/>
          <w:b/>
          <w:bCs/>
          <w:color w:val="000000" w:themeColor="text1"/>
          <w:sz w:val="28"/>
          <w:szCs w:val="28"/>
          <w14:textFill>
            <w14:solidFill>
              <w14:schemeClr w14:val="tx1"/>
            </w14:solidFill>
          </w14:textFill>
        </w:rPr>
        <w:t>编制说明</w:t>
      </w:r>
    </w:p>
    <w:p w14:paraId="2C472264">
      <w:pPr>
        <w:pStyle w:val="2"/>
        <w:bidi w:val="0"/>
        <w:rPr>
          <w:rFonts w:hint="eastAsia"/>
          <w:lang w:val="en-US" w:eastAsia="zh-CN"/>
        </w:rPr>
      </w:pPr>
      <w:bookmarkStart w:id="0" w:name="_Toc25372"/>
      <w:r>
        <w:rPr>
          <w:rFonts w:hint="eastAsia"/>
          <w:lang w:val="en-US" w:eastAsia="zh-CN"/>
        </w:rPr>
        <w:t>项目背景</w:t>
      </w:r>
      <w:bookmarkEnd w:id="0"/>
    </w:p>
    <w:p w14:paraId="56B22FA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eastAsia" w:ascii="Times New Roman" w:hAnsi="Times New Roman" w:cs="Times New Roman"/>
          <w:lang w:val="en-US" w:eastAsia="zh-CN"/>
        </w:rPr>
      </w:pPr>
      <w:bookmarkStart w:id="1" w:name="_Toc10298"/>
      <w:r>
        <w:rPr>
          <w:rStyle w:val="28"/>
          <w:rFonts w:hint="eastAsia" w:ascii="Times New Roman" w:hAnsi="Times New Roman" w:cs="Times New Roman"/>
          <w:lang w:val="en-US" w:eastAsia="zh-CN"/>
        </w:rPr>
        <w:t>1.1任务来源</w:t>
      </w:r>
    </w:p>
    <w:bookmarkEnd w:id="1"/>
    <w:p w14:paraId="5700B2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28"/>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为了贯彻执行《中华人民共和国环境保护法》《中华人民共和国大气污染防治法》《大气污染防治行动计划》以及《甘肃省大气污染防治条例》等法律法规，促进</w:t>
      </w:r>
      <w:r>
        <w:rPr>
          <w:rFonts w:hint="eastAsia" w:ascii="Times New Roman" w:hAnsi="Times New Roman"/>
          <w:color w:val="000000" w:themeColor="text1"/>
          <w:sz w:val="24"/>
          <w:szCs w:val="24"/>
          <w:lang w:val="en-US" w:eastAsia="zh-CN"/>
          <w14:textFill>
            <w14:solidFill>
              <w14:schemeClr w14:val="tx1"/>
            </w14:solidFill>
          </w14:textFill>
        </w:rPr>
        <w:t>甘肃</w:t>
      </w:r>
      <w:r>
        <w:rPr>
          <w:rFonts w:hint="eastAsia" w:ascii="Times New Roman" w:hAnsi="Times New Roman"/>
          <w:color w:val="000000" w:themeColor="text1"/>
          <w:sz w:val="24"/>
          <w:szCs w:val="24"/>
          <w14:textFill>
            <w14:solidFill>
              <w14:schemeClr w14:val="tx1"/>
            </w14:solidFill>
          </w14:textFill>
        </w:rPr>
        <w:t>省钢铁工业生产工艺和污染治理技术的进步，实现</w:t>
      </w:r>
      <w:r>
        <w:rPr>
          <w:rFonts w:hint="eastAsia" w:ascii="Times New Roman" w:hAnsi="Times New Roman"/>
          <w:color w:val="000000" w:themeColor="text1"/>
          <w:sz w:val="24"/>
          <w:szCs w:val="24"/>
          <w:lang w:val="en-US" w:eastAsia="zh-CN"/>
          <w14:textFill>
            <w14:solidFill>
              <w14:schemeClr w14:val="tx1"/>
            </w14:solidFill>
          </w14:textFill>
        </w:rPr>
        <w:t>甘肃</w:t>
      </w:r>
      <w:r>
        <w:rPr>
          <w:rFonts w:hint="eastAsia" w:ascii="Times New Roman" w:hAnsi="Times New Roman"/>
          <w:color w:val="000000" w:themeColor="text1"/>
          <w:sz w:val="24"/>
          <w:szCs w:val="24"/>
          <w14:textFill>
            <w14:solidFill>
              <w14:schemeClr w14:val="tx1"/>
            </w14:solidFill>
          </w14:textFill>
        </w:rPr>
        <w:t>省钢铁工业大气污染物</w:t>
      </w:r>
      <w:r>
        <w:rPr>
          <w:rFonts w:hint="eastAsia" w:ascii="Times New Roman" w:hAnsi="Times New Roman"/>
          <w:color w:val="000000" w:themeColor="text1"/>
          <w:sz w:val="24"/>
          <w:szCs w:val="24"/>
          <w:lang w:val="en-US" w:eastAsia="zh-CN"/>
          <w14:textFill>
            <w14:solidFill>
              <w14:schemeClr w14:val="tx1"/>
            </w14:solidFill>
          </w14:textFill>
        </w:rPr>
        <w:t>协同减排</w:t>
      </w:r>
      <w:r>
        <w:rPr>
          <w:rFonts w:hint="eastAsia" w:ascii="Times New Roman" w:hAnsi="Times New Roman"/>
          <w:color w:val="000000" w:themeColor="text1"/>
          <w:sz w:val="24"/>
          <w:szCs w:val="24"/>
          <w14:textFill>
            <w14:solidFill>
              <w14:schemeClr w14:val="tx1"/>
            </w14:solidFill>
          </w14:textFill>
        </w:rPr>
        <w:t>，保护环境，防治污染，保障人体健康，维护良好的生态环境，</w:t>
      </w:r>
      <w:r>
        <w:rPr>
          <w:rFonts w:hint="eastAsia" w:ascii="Times New Roman" w:hAnsi="Times New Roman"/>
          <w:color w:val="000000" w:themeColor="text1"/>
          <w:sz w:val="24"/>
          <w:szCs w:val="24"/>
          <w:lang w:val="en-US" w:eastAsia="zh-CN"/>
          <w14:textFill>
            <w14:solidFill>
              <w14:schemeClr w14:val="tx1"/>
            </w14:solidFill>
          </w14:textFill>
        </w:rPr>
        <w:t>由甘肃</w:t>
      </w:r>
      <w:r>
        <w:rPr>
          <w:rFonts w:hint="eastAsia" w:ascii="Times New Roman" w:hAnsi="Times New Roman"/>
          <w:color w:val="000000" w:themeColor="text1"/>
          <w:sz w:val="24"/>
          <w:szCs w:val="24"/>
          <w14:textFill>
            <w14:solidFill>
              <w14:schemeClr w14:val="tx1"/>
            </w14:solidFill>
          </w14:textFill>
        </w:rPr>
        <w:t>省</w:t>
      </w:r>
      <w:r>
        <w:rPr>
          <w:rFonts w:hint="eastAsia" w:ascii="Times New Roman" w:hAnsi="Times New Roman"/>
          <w:color w:val="000000" w:themeColor="text1"/>
          <w:sz w:val="24"/>
          <w:szCs w:val="24"/>
          <w:lang w:val="en-US" w:eastAsia="zh-CN"/>
          <w14:textFill>
            <w14:solidFill>
              <w14:schemeClr w14:val="tx1"/>
            </w14:solidFill>
          </w14:textFill>
        </w:rPr>
        <w:t>生态</w:t>
      </w:r>
      <w:r>
        <w:rPr>
          <w:rFonts w:hint="eastAsia" w:ascii="Times New Roman" w:hAnsi="Times New Roman"/>
          <w:color w:val="000000" w:themeColor="text1"/>
          <w:sz w:val="24"/>
          <w:szCs w:val="24"/>
          <w14:textFill>
            <w14:solidFill>
              <w14:schemeClr w14:val="tx1"/>
            </w14:solidFill>
          </w14:textFill>
        </w:rPr>
        <w:t>环境保护厅</w:t>
      </w:r>
      <w:r>
        <w:rPr>
          <w:rFonts w:hint="eastAsia" w:ascii="Times New Roman" w:hAnsi="Times New Roman"/>
          <w:color w:val="000000" w:themeColor="text1"/>
          <w:sz w:val="24"/>
          <w:szCs w:val="24"/>
          <w:lang w:val="en-US" w:eastAsia="zh-CN"/>
          <w14:textFill>
            <w14:solidFill>
              <w14:schemeClr w14:val="tx1"/>
            </w14:solidFill>
          </w14:textFill>
        </w:rPr>
        <w:t>提出</w:t>
      </w:r>
      <w:r>
        <w:rPr>
          <w:rFonts w:hint="eastAsia" w:ascii="Times New Roman" w:hAnsi="Times New Roman"/>
          <w:color w:val="000000" w:themeColor="text1"/>
          <w:sz w:val="24"/>
          <w:szCs w:val="24"/>
          <w14:textFill>
            <w14:solidFill>
              <w14:schemeClr w14:val="tx1"/>
            </w14:solidFill>
          </w14:textFill>
        </w:rPr>
        <w:t>，</w:t>
      </w:r>
      <w:bookmarkStart w:id="2" w:name="OLE_LINK7"/>
      <w:r>
        <w:rPr>
          <w:rFonts w:hint="eastAsia"/>
          <w:color w:val="000000"/>
        </w:rPr>
        <w:t>甘肃省生态环境科学设计研究院</w:t>
      </w:r>
      <w:r>
        <w:rPr>
          <w:rFonts w:hint="eastAsia"/>
          <w:color w:val="000000"/>
          <w:lang w:val="en-US" w:eastAsia="zh-CN"/>
        </w:rPr>
        <w:t>、兰州大学、</w:t>
      </w:r>
      <w:r>
        <w:rPr>
          <w:rFonts w:hint="eastAsia"/>
          <w:color w:val="000000"/>
          <w:lang w:eastAsia="zh-CN"/>
        </w:rPr>
        <w:t>甘肃酒钢集团宏兴钢铁股份有限公司</w:t>
      </w:r>
      <w:bookmarkEnd w:id="2"/>
      <w:r>
        <w:rPr>
          <w:rFonts w:hint="eastAsia"/>
          <w:color w:val="000000"/>
          <w:lang w:val="en-US" w:eastAsia="zh-CN"/>
        </w:rPr>
        <w:t>共同</w:t>
      </w:r>
      <w:r>
        <w:rPr>
          <w:rFonts w:hint="eastAsia" w:ascii="Times New Roman" w:hAnsi="Times New Roman"/>
          <w:color w:val="000000" w:themeColor="text1"/>
          <w:sz w:val="24"/>
          <w:szCs w:val="24"/>
          <w14:textFill>
            <w14:solidFill>
              <w14:schemeClr w14:val="tx1"/>
            </w14:solidFill>
          </w14:textFill>
        </w:rPr>
        <w:t>承担了</w:t>
      </w:r>
      <w:r>
        <w:rPr>
          <w:rFonts w:hint="eastAsia" w:ascii="Times New Roman" w:hAnsi="Times New Roman"/>
          <w:color w:val="000000" w:themeColor="text1"/>
          <w:sz w:val="24"/>
          <w:szCs w:val="24"/>
          <w:lang w:val="en-US" w:eastAsia="zh-CN"/>
          <w14:textFill>
            <w14:solidFill>
              <w14:schemeClr w14:val="tx1"/>
            </w14:solidFill>
          </w14:textFill>
        </w:rPr>
        <w:t>甘肃省</w: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eastAsia="zh-CN"/>
          <w14:textFill>
            <w14:solidFill>
              <w14:schemeClr w14:val="tx1"/>
            </w14:solidFill>
          </w14:textFill>
        </w:rPr>
        <w:t>钢铁工业大气污染控制技术规范</w:t>
      </w:r>
      <w:r>
        <w:rPr>
          <w:rFonts w:hint="eastAsia" w:ascii="Times New Roman" w:hAnsi="Times New Roman"/>
          <w:color w:val="000000" w:themeColor="text1"/>
          <w:sz w:val="24"/>
          <w:szCs w:val="24"/>
          <w14:textFill>
            <w14:solidFill>
              <w14:schemeClr w14:val="tx1"/>
            </w14:solidFill>
          </w14:textFill>
        </w:rPr>
        <w:t>》的</w:t>
      </w:r>
      <w:r>
        <w:rPr>
          <w:rFonts w:hint="eastAsia" w:ascii="Times New Roman" w:hAnsi="Times New Roman"/>
          <w:color w:val="000000" w:themeColor="text1"/>
          <w:sz w:val="24"/>
          <w:szCs w:val="24"/>
          <w:lang w:val="en-US" w:eastAsia="zh-CN"/>
          <w14:textFill>
            <w14:solidFill>
              <w14:schemeClr w14:val="tx1"/>
            </w14:solidFill>
          </w14:textFill>
        </w:rPr>
        <w:t>制定</w:t>
      </w:r>
      <w:r>
        <w:rPr>
          <w:rFonts w:hint="eastAsia" w:ascii="Times New Roman" w:hAnsi="Times New Roman"/>
          <w:color w:val="000000" w:themeColor="text1"/>
          <w:sz w:val="24"/>
          <w:szCs w:val="24"/>
          <w14:textFill>
            <w14:solidFill>
              <w14:schemeClr w14:val="tx1"/>
            </w14:solidFill>
          </w14:textFill>
        </w:rPr>
        <w:t>工作。</w:t>
      </w:r>
    </w:p>
    <w:p w14:paraId="31462C1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eastAsia" w:ascii="Times New Roman" w:hAnsi="Times New Roman" w:cs="Times New Roman"/>
          <w:lang w:val="en-US" w:eastAsia="zh-CN"/>
        </w:rPr>
      </w:pPr>
      <w:bookmarkStart w:id="3" w:name="_Toc22258"/>
      <w:r>
        <w:rPr>
          <w:rStyle w:val="28"/>
          <w:rFonts w:hint="eastAsia" w:ascii="Times New Roman" w:hAnsi="Times New Roman" w:cs="Times New Roman"/>
          <w:lang w:val="en-US" w:eastAsia="zh-CN"/>
        </w:rPr>
        <w:t>1.2主要工作过程</w:t>
      </w:r>
    </w:p>
    <w:bookmarkEnd w:id="3"/>
    <w:p w14:paraId="0B0ABF65">
      <w:pPr>
        <w:spacing w:line="360" w:lineRule="auto"/>
        <w:ind w:firstLine="480" w:firstLineChars="200"/>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202</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eastAsia"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12</w:t>
      </w:r>
      <w:r>
        <w:rPr>
          <w:rFonts w:hint="eastAsia"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甘肃省生态环境科学设计研究院联合</w:t>
      </w:r>
      <w:r>
        <w:rPr>
          <w:rFonts w:hint="eastAsia"/>
          <w:color w:val="000000"/>
          <w:lang w:val="en-US" w:eastAsia="zh-CN"/>
        </w:rPr>
        <w:t>兰州大学、</w:t>
      </w:r>
      <w:r>
        <w:rPr>
          <w:rFonts w:hint="eastAsia" w:ascii="Times New Roman" w:hAnsi="Times New Roman" w:cs="Times New Roman"/>
          <w:color w:val="000000" w:themeColor="text1"/>
          <w:sz w:val="24"/>
          <w:szCs w:val="24"/>
          <w:lang w:val="en-US" w:eastAsia="zh-CN"/>
          <w14:textFill>
            <w14:solidFill>
              <w14:schemeClr w14:val="tx1"/>
            </w14:solidFill>
          </w14:textFill>
        </w:rPr>
        <w:t>甘肃酒钢集团宏兴钢铁股份有限公司</w:t>
      </w:r>
      <w:r>
        <w:rPr>
          <w:rFonts w:hint="eastAsia" w:ascii="Times New Roman" w:hAnsi="Times New Roman" w:cs="Times New Roman"/>
          <w:color w:val="000000" w:themeColor="text1"/>
          <w:sz w:val="24"/>
          <w:szCs w:val="24"/>
          <w14:textFill>
            <w14:solidFill>
              <w14:schemeClr w14:val="tx1"/>
            </w14:solidFill>
          </w14:textFill>
        </w:rPr>
        <w:t>成立了标准编制组，明确编制组主要成员和分工，讨论并制定具体实施方案。</w:t>
      </w:r>
    </w:p>
    <w:p w14:paraId="6BDE8452">
      <w:pPr>
        <w:spacing w:line="360" w:lineRule="auto"/>
        <w:ind w:firstLine="480" w:firstLineChars="200"/>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编制组依照工作计划</w:t>
      </w:r>
      <w:r>
        <w:rPr>
          <w:rFonts w:hint="eastAsia" w:ascii="Times New Roman" w:hAnsi="Times New Roman" w:cs="Times New Roman"/>
          <w:color w:val="000000" w:themeColor="text1"/>
          <w:sz w:val="24"/>
          <w:szCs w:val="24"/>
          <w:lang w:eastAsia="zh-CN"/>
          <w14:textFill>
            <w14:solidFill>
              <w14:schemeClr w14:val="tx1"/>
            </w14:solidFill>
          </w14:textFill>
        </w:rPr>
        <w:t>，通过技术交流、座谈研讨、文献调研、现场调研等方式，收集全省钢铁长流程企业的竣工环境保护验收、监督性监测、自行监测等数据以及环境影响评价、排污许可等管理资料，必要时通过实测补充调查，并结合专家咨询，以控制因子、排放限值、达标考核等为重点对标准主要技术内容进行研究。通过掌握设备运行、污染防治以及主要污染物排放现状，了解现行标准体系存在的难点和热点问题，对相关污染防治技术及其控制水平进行分析和评估，研究标准实施的经济技术可达性及预期环境效益，确定科学合理的标准研制技术路线。</w:t>
      </w:r>
    </w:p>
    <w:p w14:paraId="131C2212">
      <w:pPr>
        <w:bidi w:val="0"/>
        <w:rPr>
          <w:rFonts w:hint="eastAsia"/>
        </w:rPr>
      </w:pPr>
      <w:r>
        <w:rPr>
          <w:rFonts w:hint="eastAsia"/>
          <w:lang w:eastAsia="zh-CN"/>
        </w:rPr>
        <w:t>按照生态环境保护相关法规政策要求，吸收借鉴国内外相关标准规范制修订经验，结合行业发展现状与国家、</w:t>
      </w:r>
      <w:r>
        <w:rPr>
          <w:rFonts w:hint="eastAsia"/>
          <w:lang w:val="en-US" w:eastAsia="zh-CN"/>
        </w:rPr>
        <w:t>甘肃</w:t>
      </w:r>
      <w:r>
        <w:rPr>
          <w:rFonts w:hint="eastAsia"/>
          <w:lang w:eastAsia="zh-CN"/>
        </w:rPr>
        <w:t>省环境管理政策要求，本着技术、经济可行原则，确定主要污染物排放控制水平，在此基础上形成</w:t>
      </w:r>
      <w:r>
        <w:rPr>
          <w:rFonts w:hint="eastAsia"/>
        </w:rPr>
        <w:t>《钢铁工业大气污染物超低排放标准》</w:t>
      </w:r>
      <w:r>
        <w:rPr>
          <w:rFonts w:hint="eastAsia"/>
          <w:lang w:eastAsia="zh-CN"/>
        </w:rPr>
        <w:t>（</w:t>
      </w:r>
      <w:r>
        <w:rPr>
          <w:rFonts w:hint="eastAsia"/>
        </w:rPr>
        <w:t>草案</w:t>
      </w:r>
      <w:r>
        <w:rPr>
          <w:rFonts w:hint="eastAsia"/>
          <w:lang w:eastAsia="zh-CN"/>
        </w:rPr>
        <w:t>）</w:t>
      </w:r>
      <w:r>
        <w:rPr>
          <w:rFonts w:hint="eastAsia"/>
        </w:rPr>
        <w:t>及编制说明。</w:t>
      </w:r>
    </w:p>
    <w:p w14:paraId="03A3D9B4">
      <w:pPr>
        <w:pStyle w:val="2"/>
        <w:bidi w:val="0"/>
      </w:pPr>
      <w:bookmarkStart w:id="4" w:name="_Toc9663"/>
      <w:r>
        <w:t>钢铁工业现状及发展趋势</w:t>
      </w:r>
      <w:bookmarkEnd w:id="4"/>
    </w:p>
    <w:p w14:paraId="62C6F15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eastAsia" w:ascii="Times New Roman" w:hAnsi="Times New Roman" w:cs="Times New Roman"/>
          <w:lang w:val="en-US" w:eastAsia="zh-CN"/>
        </w:rPr>
      </w:pPr>
      <w:bookmarkStart w:id="5" w:name="_Toc26856"/>
      <w:r>
        <w:rPr>
          <w:rStyle w:val="28"/>
          <w:rFonts w:hint="eastAsia" w:ascii="Times New Roman" w:hAnsi="Times New Roman" w:cs="Times New Roman"/>
          <w:lang w:val="en-US" w:eastAsia="zh-CN"/>
        </w:rPr>
        <w:t>2.1甘肃省及国内钢铁工业现状、发展趋势</w:t>
      </w:r>
    </w:p>
    <w:bookmarkEnd w:id="5"/>
    <w:p w14:paraId="2CEE0145">
      <w:pPr>
        <w:pStyle w:val="4"/>
        <w:bidi w:val="0"/>
        <w:spacing w:line="240" w:lineRule="auto"/>
        <w:ind w:left="0" w:leftChars="0" w:firstLine="0" w:firstLineChars="0"/>
        <w:rPr>
          <w:rFonts w:hint="eastAsia" w:cs="Times New Roman"/>
        </w:rPr>
      </w:pPr>
      <w:r>
        <w:rPr>
          <w:rFonts w:hint="eastAsia" w:cs="Times New Roman"/>
        </w:rPr>
        <w:t>2.1.1行业现状</w:t>
      </w:r>
    </w:p>
    <w:p w14:paraId="2B85EC32">
      <w:pPr>
        <w:bidi w:val="0"/>
        <w:rPr>
          <w:rFonts w:hint="eastAsia"/>
          <w:lang w:eastAsia="zh-CN"/>
        </w:rPr>
      </w:pPr>
      <w:r>
        <w:rPr>
          <w:rFonts w:hint="eastAsia"/>
        </w:rPr>
        <w:t>钢铁行业是我国国民经济的支柱型产业，其关联产业范围广，在国民经济发展中具有举足轻重的地位</w:t>
      </w:r>
      <w:r>
        <w:rPr>
          <w:rFonts w:hint="eastAsia"/>
          <w:lang w:eastAsia="zh-CN"/>
        </w:rPr>
        <w:t>。</w:t>
      </w:r>
      <w:r>
        <w:rPr>
          <w:rFonts w:hint="eastAsia"/>
        </w:rPr>
        <w:t>我国也是世界上最大的钢铁生产国，钢铁产量稳居全球首位</w:t>
      </w:r>
      <w:r>
        <w:rPr>
          <w:rFonts w:hint="eastAsia" w:cs="Times New Roman"/>
        </w:rPr>
        <w:t>，但</w:t>
      </w:r>
      <w:r>
        <w:rPr>
          <w:rFonts w:hint="eastAsia" w:cs="Times New Roman"/>
          <w:lang w:val="en-US" w:eastAsia="zh-CN"/>
        </w:rPr>
        <w:t>近年来</w:t>
      </w:r>
      <w:r>
        <w:rPr>
          <w:rFonts w:hint="eastAsia" w:cs="Times New Roman"/>
        </w:rPr>
        <w:t>增速有所放缓</w:t>
      </w:r>
      <w:r>
        <w:rPr>
          <w:rFonts w:hint="eastAsia" w:cs="Times New Roman"/>
          <w:lang w:eastAsia="zh-CN"/>
        </w:rPr>
        <w:t>。</w:t>
      </w:r>
      <w:r>
        <w:rPr>
          <w:rFonts w:hint="eastAsia" w:cs="Times New Roman"/>
        </w:rPr>
        <w:t>根据国家统计局口径数据，近五年中国粗钢产量如</w:t>
      </w:r>
      <w:r>
        <w:rPr>
          <w:rFonts w:hint="eastAsia" w:cs="Times New Roman"/>
          <w:lang w:val="en-US" w:eastAsia="zh-CN"/>
        </w:rPr>
        <w:t>图2-1所示，</w:t>
      </w:r>
      <w:r>
        <w:rPr>
          <w:rFonts w:hint="eastAsia" w:cs="Times New Roman"/>
        </w:rPr>
        <w:t>2020年粗钢产量达到峰值10.6</w:t>
      </w:r>
      <w:r>
        <w:rPr>
          <w:rFonts w:hint="eastAsia" w:cs="Times New Roman"/>
          <w:lang w:val="en-US" w:eastAsia="zh-CN"/>
        </w:rPr>
        <w:t>4</w:t>
      </w:r>
      <w:r>
        <w:rPr>
          <w:rFonts w:hint="eastAsia" w:cs="Times New Roman"/>
        </w:rPr>
        <w:t>亿吨后逐年下降</w:t>
      </w:r>
      <w:r>
        <w:rPr>
          <w:rFonts w:hint="eastAsia" w:cs="Times New Roman"/>
          <w:lang w:eastAsia="zh-CN"/>
        </w:rPr>
        <w:t>，</w:t>
      </w:r>
      <w:r>
        <w:rPr>
          <w:rFonts w:hint="eastAsia" w:cs="Times New Roman"/>
        </w:rPr>
        <w:t>2024年前10月粗钢产量</w:t>
      </w:r>
      <w:r>
        <w:rPr>
          <w:rFonts w:hint="eastAsia" w:cs="Times New Roman"/>
          <w:lang w:val="en-US" w:eastAsia="zh-CN"/>
        </w:rPr>
        <w:t>为</w:t>
      </w:r>
      <w:r>
        <w:rPr>
          <w:rFonts w:hint="eastAsia" w:cs="Times New Roman"/>
        </w:rPr>
        <w:t>8.51亿吨，同比下降3%</w:t>
      </w:r>
      <w:r>
        <w:rPr>
          <w:rFonts w:hint="eastAsia" w:cs="Times New Roman"/>
          <w:lang w:eastAsia="zh-CN"/>
        </w:rPr>
        <w:t>。</w:t>
      </w:r>
      <w:r>
        <w:rPr>
          <w:rFonts w:hint="eastAsia" w:cs="Times New Roman"/>
        </w:rPr>
        <w:t>甘肃位于中国西北地区，全省丰富的矿产资源造就了重工业产业机构的形成</w:t>
      </w:r>
      <w:r>
        <w:rPr>
          <w:rFonts w:hint="eastAsia" w:cs="Times New Roman"/>
          <w:lang w:eastAsia="zh-CN"/>
        </w:rPr>
        <w:t>，</w:t>
      </w:r>
      <w:r>
        <w:rPr>
          <w:rFonts w:hint="eastAsia" w:cs="Times New Roman"/>
          <w:lang w:val="en-US" w:eastAsia="zh-CN"/>
        </w:rPr>
        <w:t>钢铁工业是甘肃省工业体系的主要基础产业之一，为建筑、机械制</w:t>
      </w:r>
      <w:r>
        <w:rPr>
          <w:rFonts w:hint="eastAsia"/>
          <w:lang w:val="en-US" w:eastAsia="zh-CN"/>
        </w:rPr>
        <w:t>造、汽车、能源等众多下游产业提供了关键的基础原料。</w:t>
      </w:r>
      <w:r>
        <w:rPr>
          <w:rFonts w:hint="eastAsia"/>
          <w:lang w:eastAsia="zh-CN"/>
        </w:rPr>
        <w:t>甘肃省钢铁工业</w:t>
      </w:r>
      <w:r>
        <w:rPr>
          <w:rFonts w:hint="eastAsia"/>
          <w:lang w:val="en-US" w:eastAsia="zh-CN"/>
        </w:rPr>
        <w:t>分布集中，主要有</w:t>
      </w:r>
      <w:r>
        <w:rPr>
          <w:rFonts w:hint="eastAsia"/>
          <w:lang w:eastAsia="zh-CN"/>
        </w:rPr>
        <w:t>酒泉钢铁（集团）有限责任公司（龙头企业）、酒钢集团榆中钢铁有限责任公司</w:t>
      </w:r>
      <w:r>
        <w:rPr>
          <w:rFonts w:hint="eastAsia"/>
          <w:lang w:val="en-US" w:eastAsia="zh-CN"/>
        </w:rPr>
        <w:t>和</w:t>
      </w:r>
      <w:r>
        <w:rPr>
          <w:rFonts w:hint="eastAsia"/>
          <w:lang w:eastAsia="zh-CN"/>
        </w:rPr>
        <w:t>皋兰兰鑫钢铁有限公司</w:t>
      </w:r>
      <w:r>
        <w:rPr>
          <w:rFonts w:hint="eastAsia"/>
          <w:lang w:val="en-US" w:eastAsia="zh-CN"/>
        </w:rPr>
        <w:t>3家企业。</w:t>
      </w:r>
      <w:r>
        <w:rPr>
          <w:rFonts w:hint="eastAsia"/>
          <w:lang w:eastAsia="zh-CN"/>
        </w:rPr>
        <w:t>甘肃</w:t>
      </w:r>
      <w:r>
        <w:rPr>
          <w:rFonts w:hint="eastAsia"/>
          <w:lang w:val="en-US" w:eastAsia="zh-CN"/>
        </w:rPr>
        <w:t>省近五年</w:t>
      </w:r>
      <w:r>
        <w:rPr>
          <w:rFonts w:hint="eastAsia"/>
          <w:lang w:eastAsia="zh-CN"/>
        </w:rPr>
        <w:t>粗钢产量</w:t>
      </w:r>
      <w:r>
        <w:rPr>
          <w:rFonts w:hint="eastAsia"/>
          <w:lang w:val="en-US" w:eastAsia="zh-CN"/>
        </w:rPr>
        <w:t>呈现平稳缓慢增长趋势，2023年</w:t>
      </w:r>
      <w:r>
        <w:rPr>
          <w:rFonts w:hint="eastAsia"/>
          <w:lang w:eastAsia="zh-CN"/>
        </w:rPr>
        <w:t>甘肃</w:t>
      </w:r>
      <w:r>
        <w:rPr>
          <w:rFonts w:hint="eastAsia"/>
          <w:lang w:val="en-US" w:eastAsia="zh-CN"/>
        </w:rPr>
        <w:t>省</w:t>
      </w:r>
      <w:r>
        <w:rPr>
          <w:rFonts w:hint="eastAsia"/>
          <w:lang w:eastAsia="zh-CN"/>
        </w:rPr>
        <w:t>粗钢产量</w:t>
      </w:r>
      <w:r>
        <w:rPr>
          <w:rFonts w:hint="eastAsia"/>
          <w:lang w:val="en-US" w:eastAsia="zh-CN"/>
        </w:rPr>
        <w:t>为</w:t>
      </w:r>
      <w:r>
        <w:rPr>
          <w:rFonts w:hint="eastAsia"/>
          <w:lang w:eastAsia="zh-CN"/>
        </w:rPr>
        <w:t>1179.4万吨，同比增长6.5%。</w:t>
      </w:r>
    </w:p>
    <w:p w14:paraId="64807F15">
      <w:pPr>
        <w:bidi w:val="0"/>
        <w:rPr>
          <w:rFonts w:hint="eastAsia"/>
        </w:rPr>
      </w:pPr>
      <w:r>
        <w:rPr>
          <w:rFonts w:hint="eastAsia"/>
        </w:rPr>
        <w:t>钢铁行业有力支撑了</w:t>
      </w:r>
      <w:r>
        <w:rPr>
          <w:rFonts w:hint="eastAsia"/>
          <w:lang w:val="en-US" w:eastAsia="zh-CN"/>
        </w:rPr>
        <w:t>我国</w:t>
      </w:r>
      <w:r>
        <w:rPr>
          <w:rFonts w:hint="eastAsia"/>
        </w:rPr>
        <w:t>社会经济发展，但同时也是污染物排放重点防控行业之一。原环境保护部2012年6月发布钢铁工业大气污染物排放系列国家标准，规定新建、现有钢铁企业分别自2012年10月1日、2015年1月1日起执行新标准。钢铁系列排放标准的实施促进了钢铁行业污染大幅减排，2019年</w:t>
      </w:r>
      <w:bookmarkStart w:id="6" w:name="OLE_LINK1"/>
      <w:r>
        <w:rPr>
          <w:rFonts w:hint="eastAsia"/>
        </w:rPr>
        <w:t>中国钢铁工业协会</w:t>
      </w:r>
      <w:bookmarkEnd w:id="6"/>
      <w:r>
        <w:rPr>
          <w:rFonts w:hint="eastAsia"/>
        </w:rPr>
        <w:t>重点统计钢铁企业吨钢颗粒物、SO</w:t>
      </w:r>
      <w:r>
        <w:rPr>
          <w:rFonts w:hint="eastAsia"/>
          <w:vertAlign w:val="subscript"/>
        </w:rPr>
        <w:t>2</w:t>
      </w:r>
      <w:r>
        <w:rPr>
          <w:rFonts w:hint="eastAsia"/>
        </w:rPr>
        <w:t>排放量相较2012年分别下降56%、70%；因钢铁企业未全面开展烧结烟气脱硝治理，NO</w:t>
      </w:r>
      <w:r>
        <w:rPr>
          <w:rFonts w:hint="eastAsia"/>
          <w:vertAlign w:val="subscript"/>
        </w:rPr>
        <w:t>X</w:t>
      </w:r>
      <w:r>
        <w:rPr>
          <w:rFonts w:hint="eastAsia"/>
        </w:rPr>
        <w:t>排放总量与强度无明显变化。虽然我国钢铁行业近年来吨钢颗粒物、SO</w:t>
      </w:r>
      <w:r>
        <w:rPr>
          <w:rFonts w:hint="eastAsia"/>
          <w:vertAlign w:val="subscript"/>
        </w:rPr>
        <w:t>2</w:t>
      </w:r>
      <w:r>
        <w:rPr>
          <w:rFonts w:hint="eastAsia"/>
        </w:rPr>
        <w:t>排放强度大幅下降，但由于粗钢产量的增加，整体排放量依然很大。据统计，2017年我国钢铁行业SO</w:t>
      </w:r>
      <w:r>
        <w:rPr>
          <w:rFonts w:hint="eastAsia"/>
          <w:vertAlign w:val="subscript"/>
        </w:rPr>
        <w:t>2</w:t>
      </w:r>
      <w:r>
        <w:rPr>
          <w:rFonts w:hint="eastAsia"/>
        </w:rPr>
        <w:t>、NOx以及颗粒物的排放总量为106万吨、172万吨以及281万吨，分别占全国主要污染物排放总量的7%、10%和20%左右</w:t>
      </w:r>
      <w:r>
        <w:rPr>
          <w:rFonts w:hint="eastAsia"/>
          <w:lang w:eastAsia="zh-CN"/>
        </w:rPr>
        <w:t>。</w:t>
      </w:r>
      <w:r>
        <w:rPr>
          <w:rFonts w:hint="eastAsia"/>
        </w:rPr>
        <w:t>2019年全国钢铁行业SO</w:t>
      </w:r>
      <w:r>
        <w:rPr>
          <w:rFonts w:hint="eastAsia"/>
          <w:vertAlign w:val="subscript"/>
        </w:rPr>
        <w:t>2</w:t>
      </w:r>
      <w:r>
        <w:rPr>
          <w:rFonts w:hint="eastAsia"/>
        </w:rPr>
        <w:t>、氮氧化物（NO</w:t>
      </w:r>
      <w:r>
        <w:rPr>
          <w:rFonts w:hint="eastAsia"/>
          <w:vertAlign w:val="subscript"/>
        </w:rPr>
        <w:t>X</w:t>
      </w:r>
      <w:r>
        <w:rPr>
          <w:rFonts w:hint="eastAsia"/>
        </w:rPr>
        <w:t>）、颗粒物排放量分别为89.1万吨、134.7万吨、61.4万吨</w:t>
      </w:r>
      <w:r>
        <w:rPr>
          <w:rFonts w:hint="eastAsia"/>
          <w:lang w:eastAsia="zh-CN"/>
        </w:rPr>
        <w:t>，</w:t>
      </w:r>
      <w:r>
        <w:rPr>
          <w:rFonts w:hint="eastAsia"/>
          <w:lang w:val="en-US" w:eastAsia="zh-CN"/>
        </w:rPr>
        <w:t>国家针对钢铁行业逐步发力实现污染减排</w:t>
      </w:r>
      <w:r>
        <w:rPr>
          <w:rFonts w:hint="eastAsia"/>
        </w:rPr>
        <w:t>。随着国家大气污染防治行动计划取得阶段性胜利，人民对生态文明建设的认识不断深化，火电行业全面贯彻实施煤电超低排放战略实现主要大气污染物排放总量大幅下降，传统大气污染物排放大户之一的钢铁工业的污染防治攻坚显得日益紧迫。生态环境部等5部委</w:t>
      </w:r>
      <w:r>
        <w:rPr>
          <w:rFonts w:hint="eastAsia"/>
          <w:lang w:val="en-US" w:eastAsia="zh-CN"/>
        </w:rPr>
        <w:t>于</w:t>
      </w:r>
      <w:r>
        <w:rPr>
          <w:rFonts w:hint="eastAsia"/>
        </w:rPr>
        <w:t>2019年4月29日发布的环大气〔2019〕35号《关于推进实施钢铁行业超低排放的意见》</w:t>
      </w:r>
      <w:r>
        <w:rPr>
          <w:rFonts w:hint="eastAsia"/>
          <w:lang w:eastAsia="zh-CN"/>
        </w:rPr>
        <w:t>（</w:t>
      </w:r>
      <w:r>
        <w:rPr>
          <w:rFonts w:hint="eastAsia"/>
          <w:lang w:val="en-US" w:eastAsia="zh-CN"/>
        </w:rPr>
        <w:t>以下简称“《意见》”</w:t>
      </w:r>
      <w:r>
        <w:rPr>
          <w:rFonts w:hint="eastAsia"/>
          <w:lang w:eastAsia="zh-CN"/>
        </w:rPr>
        <w:t>）</w:t>
      </w:r>
      <w:bookmarkStart w:id="7" w:name="OLE_LINK16"/>
      <w:r>
        <w:rPr>
          <w:rFonts w:hint="eastAsia"/>
        </w:rPr>
        <w:t>从有组织源头减排、工艺过程优化控制、治理设施提标升级、无组织精准管控与交通运输结构调整等多方面同时发力，</w:t>
      </w:r>
      <w:bookmarkEnd w:id="7"/>
      <w:r>
        <w:rPr>
          <w:rFonts w:hint="eastAsia"/>
        </w:rPr>
        <w:t>全面推动钢铁行业提升环境保护水平。</w:t>
      </w:r>
    </w:p>
    <w:p w14:paraId="6FDD12C6">
      <w:pPr>
        <w:bidi w:val="0"/>
        <w:rPr>
          <w:rFonts w:hint="eastAsia"/>
          <w:color w:val="auto"/>
          <w:lang w:eastAsia="zh-CN"/>
        </w:rPr>
      </w:pPr>
      <w:r>
        <w:rPr>
          <w:rFonts w:hint="eastAsia"/>
          <w:color w:val="auto"/>
          <w:lang w:eastAsia="zh-CN"/>
        </w:rPr>
        <w:t>根据2024年1-6月，全国重点统计钢铁企业废气中二氧化硫、颗粒物、氮氧化物排放量分别同比下降9.66%、3.86%、7.50%，吨钢二氧化硫排放量0.20千克/吨，同比下降6.79%；吨钢颗粒物排放量0.21千克/吨，同比下降3.49%；吨钢氮氧化物排放量0.35千克/吨，同比下降5.64%。</w:t>
      </w:r>
      <w:r>
        <w:rPr>
          <w:rFonts w:hint="eastAsia"/>
          <w:color w:val="auto"/>
          <w:lang w:val="en-US" w:eastAsia="zh-CN"/>
        </w:rPr>
        <w:t>在</w:t>
      </w:r>
      <w:r>
        <w:rPr>
          <w:rFonts w:hint="eastAsia"/>
          <w:color w:val="auto"/>
          <w:lang w:eastAsia="zh-CN"/>
        </w:rPr>
        <w:t>全国钢铁行业环保减排的大趋势下，甘肃省</w:t>
      </w:r>
      <w:r>
        <w:rPr>
          <w:rFonts w:hint="eastAsia"/>
          <w:color w:val="auto"/>
          <w:lang w:val="en-US" w:eastAsia="zh-CN"/>
        </w:rPr>
        <w:t>正在</w:t>
      </w:r>
      <w:r>
        <w:rPr>
          <w:rFonts w:hint="eastAsia"/>
          <w:color w:val="auto"/>
          <w:lang w:eastAsia="zh-CN"/>
        </w:rPr>
        <w:t>积极推进钢铁产业</w:t>
      </w:r>
      <w:r>
        <w:rPr>
          <w:rFonts w:hint="eastAsia"/>
          <w:color w:val="auto"/>
          <w:lang w:val="en-US" w:eastAsia="zh-CN"/>
        </w:rPr>
        <w:t>超低排放</w:t>
      </w:r>
      <w:r>
        <w:rPr>
          <w:rFonts w:hint="eastAsia"/>
          <w:color w:val="auto"/>
          <w:lang w:eastAsia="zh-CN"/>
        </w:rPr>
        <w:t>绿色转型，甘肃省钢铁企业的二氧化硫、氮氧化物、颗粒物</w:t>
      </w:r>
      <w:r>
        <w:rPr>
          <w:rFonts w:hint="eastAsia"/>
          <w:color w:val="auto"/>
          <w:lang w:val="en-US" w:eastAsia="zh-CN"/>
        </w:rPr>
        <w:t>等污染物的</w:t>
      </w:r>
      <w:r>
        <w:rPr>
          <w:rFonts w:hint="eastAsia"/>
          <w:color w:val="auto"/>
          <w:lang w:eastAsia="zh-CN"/>
        </w:rPr>
        <w:t>排放量预计将呈</w:t>
      </w:r>
      <w:r>
        <w:rPr>
          <w:rFonts w:hint="eastAsia"/>
          <w:color w:val="auto"/>
          <w:lang w:val="en-US" w:eastAsia="zh-CN"/>
        </w:rPr>
        <w:t>显著</w:t>
      </w:r>
      <w:r>
        <w:rPr>
          <w:rFonts w:hint="eastAsia"/>
          <w:color w:val="auto"/>
          <w:lang w:eastAsia="zh-CN"/>
        </w:rPr>
        <w:t>下降趋势。</w:t>
      </w:r>
    </w:p>
    <w:p w14:paraId="414FCB24">
      <w:pPr>
        <w:bidi w:val="0"/>
        <w:rPr>
          <w:rFonts w:hint="eastAsia"/>
        </w:rPr>
      </w:pPr>
      <w:r>
        <w:rPr>
          <w:rFonts w:hint="eastAsia"/>
        </w:rPr>
        <w:t>此外，钢铁行业</w:t>
      </w:r>
      <w:bookmarkStart w:id="8" w:name="OLE_LINK3"/>
      <w:r>
        <w:rPr>
          <w:rFonts w:hint="eastAsia"/>
        </w:rPr>
        <w:t>（炼钢生产和铁矿石烧结）</w:t>
      </w:r>
      <w:bookmarkEnd w:id="8"/>
      <w:r>
        <w:rPr>
          <w:rFonts w:hint="eastAsia"/>
        </w:rPr>
        <w:t>是</w:t>
      </w:r>
      <w:r>
        <w:rPr>
          <w:rFonts w:hint="eastAsia"/>
          <w:lang w:val="en-US" w:eastAsia="zh-CN"/>
        </w:rPr>
        <w:t>二噁英类持久性有机污染物的重大排放源之一。根据《甘肃省持久性有机污染物更新调查技术报告（2019年度）》钢铁工业（炼钢生产和铁矿石烧结</w:t>
      </w:r>
      <w:r>
        <w:rPr>
          <w:rFonts w:hint="eastAsia"/>
        </w:rPr>
        <w:t>）</w:t>
      </w:r>
      <w:r>
        <w:rPr>
          <w:rFonts w:hint="eastAsia"/>
          <w:lang w:eastAsia="zh-CN"/>
        </w:rPr>
        <w:t>是</w:t>
      </w:r>
      <w:r>
        <w:rPr>
          <w:rFonts w:hint="eastAsia"/>
        </w:rPr>
        <w:t>甘肃省第一重大二噁英排放源，其二噁英排放量占甘肃省总排放量的62.4%，是甘肃省二噁英排放重点监管行业。</w:t>
      </w:r>
    </w:p>
    <w:p w14:paraId="776C5B55">
      <w:pPr>
        <w:pStyle w:val="4"/>
        <w:bidi w:val="0"/>
        <w:spacing w:line="240" w:lineRule="auto"/>
        <w:ind w:left="0" w:leftChars="0" w:firstLine="0" w:firstLineChars="0"/>
        <w:rPr>
          <w:rFonts w:hint="eastAsia" w:cs="Times New Roman"/>
        </w:rPr>
      </w:pPr>
      <w:r>
        <w:rPr>
          <w:rFonts w:hint="eastAsia" w:cs="Times New Roman"/>
        </w:rPr>
        <w:t>2.1.2发展趋势</w:t>
      </w:r>
    </w:p>
    <w:p w14:paraId="437A3357">
      <w:pPr>
        <w:bidi w:val="0"/>
        <w:jc w:val="left"/>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国家层面，到2025年底前，重点区域钢铁企业超低排放改造基本完成，全国力争80%以上产能完成改造。甘肃省层面，</w:t>
      </w:r>
      <w:r>
        <w:rPr>
          <w:rFonts w:hint="eastAsia" w:ascii="Times New Roman" w:hAnsi="Times New Roman"/>
          <w:color w:val="000000" w:themeColor="text1"/>
          <w14:textFill>
            <w14:solidFill>
              <w14:schemeClr w14:val="tx1"/>
            </w14:solidFill>
          </w14:textFill>
        </w:rPr>
        <w:t>为</w:t>
      </w:r>
      <w:r>
        <w:rPr>
          <w:rFonts w:hint="eastAsia" w:ascii="Times New Roman" w:hAnsi="Times New Roman"/>
          <w:color w:val="000000" w:themeColor="text1"/>
          <w:lang w:val="en-US" w:eastAsia="zh-CN"/>
          <w14:textFill>
            <w14:solidFill>
              <w14:schemeClr w14:val="tx1"/>
            </w14:solidFill>
          </w14:textFill>
        </w:rPr>
        <w:t>了贯彻落实《意见》的要求，</w:t>
      </w:r>
      <w:r>
        <w:rPr>
          <w:rFonts w:hint="eastAsia" w:ascii="Times New Roman" w:hAnsi="Times New Roman"/>
          <w:color w:val="000000" w:themeColor="text1"/>
          <w14:textFill>
            <w14:solidFill>
              <w14:schemeClr w14:val="tx1"/>
            </w14:solidFill>
          </w14:textFill>
        </w:rPr>
        <w:t>进一步指导全省钢铁行业布局调整、产能整合、装备升级、安全生产等工作，科学有序推动全省钢铁行业转型升级优化布局，实现安全发展、绿色发展、高质量发展，</w:t>
      </w:r>
      <w:r>
        <w:rPr>
          <w:rFonts w:hint="eastAsia" w:ascii="Times New Roman" w:hAnsi="Times New Roman"/>
          <w:color w:val="000000" w:themeColor="text1"/>
          <w:lang w:val="en-US" w:eastAsia="zh-CN"/>
          <w14:textFill>
            <w14:solidFill>
              <w14:schemeClr w14:val="tx1"/>
            </w14:solidFill>
          </w14:textFill>
        </w:rPr>
        <w:t>甘肃省正在全面</w:t>
      </w:r>
      <w:r>
        <w:rPr>
          <w:rFonts w:hint="eastAsia" w:ascii="Times New Roman" w:hAnsi="Times New Roman"/>
          <w:color w:val="000000" w:themeColor="text1"/>
          <w:lang w:eastAsia="zh-CN"/>
          <w14:textFill>
            <w14:solidFill>
              <w14:schemeClr w14:val="tx1"/>
            </w14:solidFill>
          </w14:textFill>
        </w:rPr>
        <w:t>推进酒钢、榆钢、兰鑫钢铁3家钢铁企业超低排放改造，已完成</w:t>
      </w:r>
      <w:r>
        <w:rPr>
          <w:rFonts w:hint="eastAsia" w:ascii="Times New Roman" w:hAnsi="Times New Roman"/>
          <w:color w:val="000000" w:themeColor="text1"/>
          <w:lang w:val="en-US" w:eastAsia="zh-CN"/>
          <w14:textFill>
            <w14:solidFill>
              <w14:schemeClr w14:val="tx1"/>
            </w14:solidFill>
          </w14:textFill>
        </w:rPr>
        <w:t>44</w:t>
      </w:r>
      <w:r>
        <w:rPr>
          <w:rFonts w:hint="eastAsia" w:ascii="Times New Roman" w:hAnsi="Times New Roman"/>
          <w:color w:val="000000" w:themeColor="text1"/>
          <w:lang w:eastAsia="zh-CN"/>
          <w14:textFill>
            <w14:solidFill>
              <w14:schemeClr w14:val="tx1"/>
            </w14:solidFill>
          </w14:textFill>
        </w:rPr>
        <w:t>个子项目建设，正在实施</w:t>
      </w:r>
      <w:r>
        <w:rPr>
          <w:rFonts w:hint="eastAsia" w:ascii="Times New Roman" w:hAnsi="Times New Roman"/>
          <w:color w:val="000000" w:themeColor="text1"/>
          <w:lang w:val="en-US" w:eastAsia="zh-CN"/>
          <w14:textFill>
            <w14:solidFill>
              <w14:schemeClr w14:val="tx1"/>
            </w14:solidFill>
          </w14:textFill>
        </w:rPr>
        <w:t>19</w:t>
      </w:r>
      <w:r>
        <w:rPr>
          <w:rFonts w:hint="eastAsia" w:ascii="Times New Roman" w:hAnsi="Times New Roman"/>
          <w:color w:val="000000" w:themeColor="text1"/>
          <w:lang w:eastAsia="zh-CN"/>
          <w14:textFill>
            <w14:solidFill>
              <w14:schemeClr w14:val="tx1"/>
            </w14:solidFill>
          </w14:textFill>
        </w:rPr>
        <w:t>个，</w:t>
      </w:r>
      <w:r>
        <w:rPr>
          <w:rFonts w:hint="eastAsia" w:ascii="Times New Roman" w:hAnsi="Times New Roman"/>
          <w:color w:val="000000" w:themeColor="text1"/>
          <w:lang w:val="en-US" w:eastAsia="zh-CN"/>
          <w14:textFill>
            <w14:solidFill>
              <w14:schemeClr w14:val="tx1"/>
            </w14:solidFill>
          </w14:textFill>
        </w:rPr>
        <w:t>预计于2025年年底全面完成超低排放改造。届时，</w:t>
      </w:r>
      <w:r>
        <w:rPr>
          <w:rFonts w:hint="eastAsia" w:ascii="Times New Roman" w:hAnsi="Times New Roman"/>
          <w:color w:val="000000" w:themeColor="text1"/>
          <w:lang w:eastAsia="zh-CN"/>
          <w14:textFill>
            <w14:solidFill>
              <w14:schemeClr w14:val="tx1"/>
            </w14:solidFill>
          </w14:textFill>
        </w:rPr>
        <w:t>甘肃省钢铁企业的二氧化硫、氮氧化物、颗粒物</w:t>
      </w:r>
      <w:r>
        <w:rPr>
          <w:rFonts w:hint="eastAsia" w:ascii="Times New Roman" w:hAnsi="Times New Roman"/>
          <w:color w:val="000000" w:themeColor="text1"/>
          <w:lang w:val="en-US" w:eastAsia="zh-CN"/>
          <w14:textFill>
            <w14:solidFill>
              <w14:schemeClr w14:val="tx1"/>
            </w14:solidFill>
          </w14:textFill>
        </w:rPr>
        <w:t>等污染物的</w:t>
      </w:r>
      <w:r>
        <w:rPr>
          <w:rFonts w:hint="eastAsia" w:ascii="Times New Roman" w:hAnsi="Times New Roman"/>
          <w:color w:val="000000" w:themeColor="text1"/>
          <w:lang w:eastAsia="zh-CN"/>
          <w14:textFill>
            <w14:solidFill>
              <w14:schemeClr w14:val="tx1"/>
            </w14:solidFill>
          </w14:textFill>
        </w:rPr>
        <w:t>排放量预计将呈</w:t>
      </w:r>
      <w:r>
        <w:rPr>
          <w:rFonts w:hint="eastAsia" w:ascii="Times New Roman" w:hAnsi="Times New Roman"/>
          <w:color w:val="000000" w:themeColor="text1"/>
          <w:lang w:val="en-US" w:eastAsia="zh-CN"/>
          <w14:textFill>
            <w14:solidFill>
              <w14:schemeClr w14:val="tx1"/>
            </w14:solidFill>
          </w14:textFill>
        </w:rPr>
        <w:t>显著</w:t>
      </w:r>
      <w:r>
        <w:rPr>
          <w:rFonts w:hint="eastAsia" w:ascii="Times New Roman" w:hAnsi="Times New Roman"/>
          <w:color w:val="000000" w:themeColor="text1"/>
          <w:lang w:eastAsia="zh-CN"/>
          <w14:textFill>
            <w14:solidFill>
              <w14:schemeClr w14:val="tx1"/>
            </w14:solidFill>
          </w14:textFill>
        </w:rPr>
        <w:t>下降趋势。</w:t>
      </w:r>
      <w:r>
        <w:rPr>
          <w:rFonts w:hint="eastAsia" w:ascii="Times New Roman" w:hAnsi="Times New Roman" w:eastAsia="宋体"/>
          <w:color w:val="000000" w:themeColor="text1"/>
          <w:lang w:eastAsia="zh-CN"/>
          <w14:textFill>
            <w14:solidFill>
              <w14:schemeClr w14:val="tx1"/>
            </w14:solidFill>
          </w14:textFill>
        </w:rPr>
        <w:drawing>
          <wp:inline distT="0" distB="0" distL="114300" distR="114300">
            <wp:extent cx="5273040" cy="4596130"/>
            <wp:effectExtent l="0" t="0" r="0" b="0"/>
            <wp:docPr id="8" name="图片 8" descr="产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产量"/>
                    <pic:cNvPicPr>
                      <a:picLocks noChangeAspect="1"/>
                    </pic:cNvPicPr>
                  </pic:nvPicPr>
                  <pic:blipFill>
                    <a:blip r:embed="rId8"/>
                    <a:stretch>
                      <a:fillRect/>
                    </a:stretch>
                  </pic:blipFill>
                  <pic:spPr>
                    <a:xfrm>
                      <a:off x="0" y="0"/>
                      <a:ext cx="5273040" cy="4596130"/>
                    </a:xfrm>
                    <a:prstGeom prst="rect">
                      <a:avLst/>
                    </a:prstGeom>
                  </pic:spPr>
                </pic:pic>
              </a:graphicData>
            </a:graphic>
          </wp:inline>
        </w:drawing>
      </w:r>
    </w:p>
    <w:p w14:paraId="4033788E">
      <w:pPr>
        <w:bidi w:val="0"/>
        <w:ind w:left="0" w:leftChars="0" w:firstLine="0" w:firstLineChars="0"/>
        <w:jc w:val="center"/>
        <w:rPr>
          <w:rFonts w:hint="default" w:eastAsia="宋体"/>
          <w:b/>
          <w:bCs/>
          <w:lang w:val="en-US" w:eastAsia="zh-CN"/>
        </w:rPr>
      </w:pPr>
      <w:r>
        <w:rPr>
          <w:rFonts w:hint="eastAsia"/>
          <w:b/>
          <w:bCs/>
          <w:lang w:val="en-US" w:eastAsia="zh-CN"/>
        </w:rPr>
        <w:t>图2-1近五年中国、甘肃省粗钢产量统计图</w:t>
      </w:r>
    </w:p>
    <w:p w14:paraId="64F0239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eastAsia" w:ascii="Times New Roman" w:hAnsi="Times New Roman" w:cs="Times New Roman"/>
          <w:lang w:val="en-US" w:eastAsia="zh-CN"/>
        </w:rPr>
      </w:pPr>
      <w:bookmarkStart w:id="9" w:name="_Toc3949"/>
      <w:r>
        <w:rPr>
          <w:rStyle w:val="28"/>
          <w:rFonts w:hint="eastAsia" w:ascii="Times New Roman" w:hAnsi="Times New Roman" w:cs="Times New Roman"/>
          <w:lang w:val="en-US" w:eastAsia="zh-CN"/>
        </w:rPr>
        <w:t>2.2国际钢铁行业现状及绿色发展趋势</w:t>
      </w:r>
    </w:p>
    <w:bookmarkEnd w:id="9"/>
    <w:p w14:paraId="5B19D952">
      <w:pPr>
        <w:pStyle w:val="4"/>
        <w:bidi w:val="0"/>
        <w:spacing w:line="240" w:lineRule="auto"/>
        <w:ind w:left="0" w:leftChars="0" w:firstLine="0" w:firstLineChars="0"/>
        <w:rPr>
          <w:rFonts w:hint="eastAsia" w:cs="Times New Roman"/>
        </w:rPr>
      </w:pPr>
      <w:r>
        <w:rPr>
          <w:rFonts w:hint="eastAsia" w:cs="Times New Roman"/>
        </w:rPr>
        <w:t>2.2.1国际粗钢产业现状</w:t>
      </w:r>
    </w:p>
    <w:p w14:paraId="55EEDA4C">
      <w:pPr>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根据世界钢铁协会公布的数据，2019年全球粗钢产量为18.699亿吨，同比增长3.4%。从区域位置划分，除亚洲和中东地区外，其他地区的粗钢产量同比均下降。2019年，亚洲粗钢产量13.416亿吨，同比增长5.7%；中国大陆粗钢产量为9.96亿吨，同比增长8.3%，占全球粗钢总产量的份额从2018年的50.9%上升至2019年的53.3%；印度2019年粗钢产量为1.112亿吨，同比增长1.8%；日本在2019年的粗钢产量为9930万吨，同比下降4.8%；韩国2019年粗钢产量为7140万吨，同比下降1.4%。从重点国家统计看，中国大陆、印度、日本、美国、俄罗斯、韩国、德国、土耳其、巴西和伊朗，分列世界粗钢产量前10位。</w:t>
      </w:r>
    </w:p>
    <w:p w14:paraId="0BA095B8">
      <w:pPr>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2019年世界粗钢月度生产量及主要产钢地区粗钢产量比例见图</w:t>
      </w:r>
      <w:r>
        <w:rPr>
          <w:rFonts w:hint="eastAsia" w:ascii="Times New Roman" w:hAnsi="Times New Roman"/>
          <w:color w:val="000000" w:themeColor="text1"/>
          <w:lang w:val="en-US" w:eastAsia="zh-CN"/>
          <w14:textFill>
            <w14:solidFill>
              <w14:schemeClr w14:val="tx1"/>
            </w14:solidFill>
          </w14:textFill>
        </w:rPr>
        <w:t>2-2和图2-3</w:t>
      </w:r>
      <w:r>
        <w:rPr>
          <w:rFonts w:hint="eastAsia" w:ascii="Times New Roman" w:hAnsi="Times New Roman"/>
          <w:color w:val="000000" w:themeColor="text1"/>
          <w14:textFill>
            <w14:solidFill>
              <w14:schemeClr w14:val="tx1"/>
            </w14:solidFill>
          </w14:textFill>
        </w:rPr>
        <w:t>。</w:t>
      </w:r>
    </w:p>
    <w:p w14:paraId="4EA03625">
      <w:pPr>
        <w:ind w:left="0" w:leftChars="0" w:firstLine="0" w:firstLineChars="0"/>
        <w:rPr>
          <w:rFonts w:hint="eastAsia" w:eastAsia="宋体"/>
          <w:lang w:eastAsia="zh-CN"/>
        </w:rPr>
      </w:pPr>
      <w:r>
        <w:rPr>
          <w:rFonts w:hint="eastAsia" w:eastAsia="宋体"/>
          <w:lang w:eastAsia="zh-CN"/>
        </w:rPr>
        <w:drawing>
          <wp:inline distT="0" distB="0" distL="114300" distR="114300">
            <wp:extent cx="5271770" cy="2125980"/>
            <wp:effectExtent l="0" t="0" r="1270" b="0"/>
            <wp:docPr id="3" name="图片 3" descr="86fb644e-f49e-4804-be13-1fb6598ea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6fb644e-f49e-4804-be13-1fb6598ea75f"/>
                    <pic:cNvPicPr>
                      <a:picLocks noChangeAspect="1"/>
                    </pic:cNvPicPr>
                  </pic:nvPicPr>
                  <pic:blipFill>
                    <a:blip r:embed="rId9"/>
                    <a:stretch>
                      <a:fillRect/>
                    </a:stretch>
                  </pic:blipFill>
                  <pic:spPr>
                    <a:xfrm>
                      <a:off x="0" y="0"/>
                      <a:ext cx="5271770" cy="2125980"/>
                    </a:xfrm>
                    <a:prstGeom prst="rect">
                      <a:avLst/>
                    </a:prstGeom>
                  </pic:spPr>
                </pic:pic>
              </a:graphicData>
            </a:graphic>
          </wp:inline>
        </w:drawing>
      </w:r>
    </w:p>
    <w:p w14:paraId="3D880BF0">
      <w:pPr>
        <w:pStyle w:val="4"/>
        <w:bidi w:val="0"/>
        <w:spacing w:line="240" w:lineRule="auto"/>
        <w:ind w:left="0" w:leftChars="0" w:firstLine="0" w:firstLineChars="0"/>
        <w:rPr>
          <w:rFonts w:hint="eastAsia"/>
        </w:rPr>
      </w:pPr>
      <w:r>
        <w:rPr>
          <w:rFonts w:hint="eastAsia"/>
        </w:rPr>
        <w:t>2.2.2国际钢铁行业发展趋势</w:t>
      </w:r>
    </w:p>
    <w:p w14:paraId="47DD58F6">
      <w:pPr>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2019年，世界钢铁协会《可持续发展的钢铁：2019可持续发展指标与钢铁行业供应链》指出，钢铁行业供应链示意图已制作完成，确定未来几年将在7个重点领域（气候变化、循环利用、供应链、副产品、产品应用、空气质量、水源）开展可持续发展问题研究。中国钢铁行业超低排放改造已全面启动，包括钢铁企业超低排放的改造、验收、评估工作，超低排放将会是2020年以及“十四五”期间中国钢企环保工作的头等大事，将会有越来越多的钢铁企业在差异化环保政策驱动下创先争优，加快超低排放改造进度，全行业治理水平将会得到进一步提高。</w:t>
      </w:r>
    </w:p>
    <w:p w14:paraId="18C4C7D2">
      <w:pPr>
        <w:pStyle w:val="2"/>
        <w:bidi w:val="0"/>
        <w:rPr>
          <w:rFonts w:hint="eastAsia"/>
        </w:rPr>
      </w:pPr>
      <w:bookmarkStart w:id="10" w:name="_Toc4046"/>
      <w:r>
        <w:rPr>
          <w:rFonts w:hint="eastAsia"/>
        </w:rPr>
        <w:t>标准制定的必要性</w:t>
      </w:r>
      <w:bookmarkEnd w:id="10"/>
    </w:p>
    <w:p w14:paraId="144AF4F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eastAsia" w:ascii="Times New Roman" w:hAnsi="Times New Roman" w:cs="Times New Roman"/>
          <w:lang w:val="en-US" w:eastAsia="zh-CN"/>
        </w:rPr>
      </w:pPr>
      <w:bookmarkStart w:id="11" w:name="_Toc9997"/>
      <w:r>
        <w:rPr>
          <w:rStyle w:val="28"/>
          <w:rFonts w:hint="eastAsia" w:ascii="Times New Roman" w:hAnsi="Times New Roman" w:cs="Times New Roman"/>
          <w:lang w:val="en-US" w:eastAsia="zh-CN"/>
        </w:rPr>
        <w:t>3.1国家及生态环境主管部门相关要求</w:t>
      </w:r>
    </w:p>
    <w:bookmarkEnd w:id="11"/>
    <w:p w14:paraId="032896C0">
      <w:pPr>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《中共中央国务院关于全面加强生态环境保护坚决打好污染防治攻坚战的意见》（中发〔2018〕17号）</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14:textFill>
            <w14:solidFill>
              <w14:schemeClr w14:val="tx1"/>
            </w14:solidFill>
          </w14:textFill>
        </w:rPr>
        <w:t>《国务院关于印发打赢蓝天保卫战三年行动计划的通知》（国发〔2018〕22号）</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意见</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等国家上位法均</w:t>
      </w:r>
      <w:r>
        <w:rPr>
          <w:rFonts w:hint="eastAsia" w:ascii="Times New Roman" w:hAnsi="Times New Roman"/>
          <w:color w:val="000000" w:themeColor="text1"/>
          <w14:textFill>
            <w14:solidFill>
              <w14:schemeClr w14:val="tx1"/>
            </w14:solidFill>
          </w14:textFill>
        </w:rPr>
        <w:t>提出</w:t>
      </w:r>
      <w:r>
        <w:rPr>
          <w:rFonts w:hint="eastAsia" w:ascii="Times New Roman" w:hAnsi="Times New Roman"/>
          <w:color w:val="000000" w:themeColor="text1"/>
          <w:lang w:val="en-US" w:eastAsia="zh-CN"/>
          <w14:textFill>
            <w14:solidFill>
              <w14:schemeClr w14:val="tx1"/>
            </w14:solidFill>
          </w14:textFill>
        </w:rPr>
        <w:t>对</w:t>
      </w:r>
      <w:r>
        <w:rPr>
          <w:rFonts w:hint="eastAsia" w:ascii="Times New Roman" w:hAnsi="Times New Roman"/>
          <w:color w:val="000000" w:themeColor="text1"/>
          <w14:textFill>
            <w14:solidFill>
              <w14:schemeClr w14:val="tx1"/>
            </w14:solidFill>
          </w14:textFill>
        </w:rPr>
        <w:t>钢铁企业实施超低排放改造要求。并明确对于完成全流程超低排放改造的钢铁企业应加大政策支持力度。</w:t>
      </w:r>
    </w:p>
    <w:p w14:paraId="0A7F9A1B">
      <w:pPr>
        <w:spacing w:line="360" w:lineRule="auto"/>
        <w:ind w:firstLine="480" w:firstLineChars="200"/>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14:textFill>
            <w14:solidFill>
              <w14:schemeClr w14:val="tx1"/>
            </w14:solidFill>
          </w14:textFill>
        </w:rPr>
        <w:t>中华人民共和国国民经济和社会发展第十四个五年规划和2035年远景目标纲要</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《黄河流域生态环境保护规划》等文件明确中提出对钢铁</w:t>
      </w:r>
      <w:r>
        <w:rPr>
          <w:rFonts w:hint="eastAsia" w:ascii="Times New Roman" w:hAnsi="Times New Roman"/>
          <w:color w:val="000000" w:themeColor="text1"/>
          <w14:textFill>
            <w14:solidFill>
              <w14:schemeClr w14:val="tx1"/>
            </w14:solidFill>
          </w14:textFill>
        </w:rPr>
        <w:t>等原材料产业布局优化和结构调整</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14:textFill>
            <w14:solidFill>
              <w14:schemeClr w14:val="tx1"/>
            </w14:solidFill>
          </w14:textFill>
        </w:rPr>
        <w:t>大力发展绿色经济</w:t>
      </w:r>
      <w:r>
        <w:rPr>
          <w:rFonts w:hint="eastAsia" w:ascii="Times New Roman" w:hAnsi="Times New Roman"/>
          <w:color w:val="000000" w:themeColor="text1"/>
          <w:lang w:val="en-US" w:eastAsia="zh-CN"/>
          <w14:textFill>
            <w14:solidFill>
              <w14:schemeClr w14:val="tx1"/>
            </w14:solidFill>
          </w14:textFill>
        </w:rPr>
        <w:t>......</w:t>
      </w:r>
      <w:r>
        <w:rPr>
          <w:rFonts w:hint="eastAsia" w:ascii="Times New Roman" w:hAnsi="Times New Roman"/>
          <w:color w:val="000000" w:themeColor="text1"/>
          <w14:textFill>
            <w14:solidFill>
              <w14:schemeClr w14:val="tx1"/>
            </w14:solidFill>
          </w14:textFill>
        </w:rPr>
        <w:t>推进钢铁、石化、建材等行业绿色化改造，加快大宗货物和中长途货物运输“公转铁”、“公转水”。</w:t>
      </w:r>
      <w:r>
        <w:rPr>
          <w:rFonts w:hint="eastAsia" w:ascii="Times New Roman" w:hAnsi="Times New Roman"/>
          <w:color w:val="000000" w:themeColor="text1"/>
          <w:lang w:val="en-US" w:eastAsia="zh-CN"/>
          <w14:textFill>
            <w14:solidFill>
              <w14:schemeClr w14:val="tx1"/>
            </w14:solidFill>
          </w14:textFill>
        </w:rPr>
        <w:t>大气污染物减排方面，完成5.3亿吨钢铁产能超低排放改造。</w:t>
      </w:r>
      <w:r>
        <w:rPr>
          <w:rFonts w:hint="eastAsia" w:ascii="Times New Roman" w:hAnsi="Times New Roman"/>
          <w:color w:val="000000" w:themeColor="text1"/>
          <w14:textFill>
            <w14:solidFill>
              <w14:schemeClr w14:val="tx1"/>
            </w14:solidFill>
          </w14:textFill>
        </w:rPr>
        <w:t>加快产业结构转型升级，推进钢铁、等重点行业化解过剩产能，鼓励科技含量高的绿色工业发展</w:t>
      </w:r>
      <w:r>
        <w:rPr>
          <w:rFonts w:hint="eastAsia" w:ascii="Times New Roman" w:hAnsi="Times New Roman"/>
          <w:color w:val="000000" w:themeColor="text1"/>
          <w:lang w:val="en-US" w:eastAsia="zh-CN"/>
          <w14:textFill>
            <w14:solidFill>
              <w14:schemeClr w14:val="tx1"/>
            </w14:solidFill>
          </w14:textFill>
        </w:rPr>
        <w:t>.....</w:t>
      </w:r>
      <w:r>
        <w:rPr>
          <w:rFonts w:hint="eastAsia" w:ascii="Times New Roman" w:hAnsi="Times New Roman"/>
          <w:color w:val="000000" w:themeColor="text1"/>
          <w14:textFill>
            <w14:solidFill>
              <w14:schemeClr w14:val="tx1"/>
            </w14:solidFill>
          </w14:textFill>
        </w:rPr>
        <w:t>推进钢铁、石化、化工、有色、建材等行业节能降碳，升级钢铁、石化、建材等领域工艺技术，控制工业过程二氧化碳排放</w:t>
      </w:r>
      <w:r>
        <w:rPr>
          <w:rFonts w:hint="eastAsia" w:ascii="Times New Roman" w:hAnsi="Times New Roman"/>
          <w:color w:val="000000" w:themeColor="text1"/>
          <w:lang w:eastAsia="zh-CN"/>
          <w14:textFill>
            <w14:solidFill>
              <w14:schemeClr w14:val="tx1"/>
            </w14:solidFill>
          </w14:textFill>
        </w:rPr>
        <w:t>。</w:t>
      </w:r>
    </w:p>
    <w:p w14:paraId="1B487AD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default" w:ascii="Times New Roman" w:hAnsi="Times New Roman" w:cs="Times New Roman"/>
          <w:lang w:val="en-US" w:eastAsia="zh-CN"/>
        </w:rPr>
      </w:pPr>
      <w:bookmarkStart w:id="12" w:name="_Toc31642"/>
      <w:r>
        <w:rPr>
          <w:rStyle w:val="28"/>
          <w:rFonts w:hint="eastAsia" w:ascii="Times New Roman" w:hAnsi="Times New Roman" w:cs="Times New Roman"/>
          <w:lang w:val="en-US" w:eastAsia="zh-CN"/>
        </w:rPr>
        <w:t>3.2</w:t>
      </w:r>
      <w:r>
        <w:rPr>
          <w:rStyle w:val="28"/>
          <w:rFonts w:hint="default" w:ascii="Times New Roman" w:hAnsi="Times New Roman" w:cs="Times New Roman"/>
          <w:lang w:val="en-US" w:eastAsia="zh-CN"/>
        </w:rPr>
        <w:t>甘肃省有关</w:t>
      </w:r>
      <w:r>
        <w:rPr>
          <w:rStyle w:val="28"/>
          <w:rFonts w:hint="eastAsia" w:ascii="Times New Roman" w:hAnsi="Times New Roman" w:cs="Times New Roman"/>
          <w:lang w:val="en-US" w:eastAsia="zh-CN"/>
        </w:rPr>
        <w:t>钢铁</w:t>
      </w:r>
      <w:r>
        <w:rPr>
          <w:rStyle w:val="28"/>
          <w:rFonts w:hint="default" w:ascii="Times New Roman" w:hAnsi="Times New Roman" w:cs="Times New Roman"/>
          <w:lang w:val="en-US" w:eastAsia="zh-CN"/>
        </w:rPr>
        <w:t>行业的要求</w:t>
      </w:r>
    </w:p>
    <w:bookmarkEnd w:id="12"/>
    <w:p w14:paraId="342EA938">
      <w:pPr>
        <w:rPr>
          <w:rFonts w:hint="default"/>
          <w:lang w:val="en-US" w:eastAsia="zh-CN"/>
        </w:rPr>
      </w:pPr>
      <w:r>
        <w:rPr>
          <w:rFonts w:hint="default"/>
          <w:lang w:val="en-US" w:eastAsia="zh-CN"/>
        </w:rPr>
        <w:t>为推动钢铁产业转型升级，改善大气环境质量、实现行业绿色高质量发展，甘肃省</w:t>
      </w:r>
      <w:r>
        <w:rPr>
          <w:rFonts w:hint="eastAsia"/>
          <w:lang w:val="en-US" w:eastAsia="zh-CN"/>
        </w:rPr>
        <w:t>印发了</w:t>
      </w:r>
      <w:r>
        <w:rPr>
          <w:rFonts w:hint="default"/>
          <w:lang w:val="en-US" w:eastAsia="zh-CN"/>
        </w:rPr>
        <w:t>《甘肃省钢铁行业超低排放改造工作计划》《甘肃省“十四五”生态环境保护规划》</w:t>
      </w:r>
      <w:bookmarkStart w:id="13" w:name="OLE_LINK15"/>
      <w:r>
        <w:rPr>
          <w:rFonts w:hint="eastAsia"/>
          <w:lang w:val="en-US" w:eastAsia="zh-CN"/>
        </w:rPr>
        <w:t>《</w:t>
      </w:r>
      <w:r>
        <w:rPr>
          <w:rFonts w:hint="default"/>
          <w:lang w:val="en-US" w:eastAsia="zh-CN"/>
        </w:rPr>
        <w:t>空气质量持续改善行动实施方案</w:t>
      </w:r>
      <w:r>
        <w:rPr>
          <w:rFonts w:hint="eastAsia"/>
          <w:lang w:val="en-US" w:eastAsia="zh-CN"/>
        </w:rPr>
        <w:t>》等文件，提出深入打好蓝天保卫战，解决人民群众身边的突出大气环境问题</w:t>
      </w:r>
      <w:bookmarkEnd w:id="13"/>
      <w:r>
        <w:rPr>
          <w:rFonts w:hint="eastAsia"/>
          <w:lang w:val="en-US" w:eastAsia="zh-CN"/>
        </w:rPr>
        <w:t>，推行钢铁、焦化、烧结一体化布局，减少独立焦化、烧结、球团和热轧企业及工序，淘汰落后煤炭洗选产能；有序引导高炉—转炉长流程炼钢转型为电炉短流程炼钢。</w:t>
      </w:r>
      <w:r>
        <w:rPr>
          <w:rFonts w:hint="default"/>
          <w:lang w:val="en-US" w:eastAsia="zh-CN"/>
        </w:rPr>
        <w:t>持续推进货物运输绿色转型。推进</w:t>
      </w:r>
      <w:r>
        <w:rPr>
          <w:rFonts w:hint="eastAsia"/>
          <w:lang w:val="en-US" w:eastAsia="zh-CN"/>
        </w:rPr>
        <w:t>钢铁等</w:t>
      </w:r>
      <w:r>
        <w:rPr>
          <w:rFonts w:hint="default"/>
          <w:lang w:val="en-US" w:eastAsia="zh-CN"/>
        </w:rPr>
        <w:t>重点行业领域污染深度治理。兰州市、嘉峪关市要加快推进钢铁行业超低排放改造，2024年底前完成兰鑫钢铁改造任务，2025年底前完成酒钢和榆钢改造任务。有序推动水泥、焦化行业超低排放改造。</w:t>
      </w:r>
    </w:p>
    <w:p w14:paraId="355A306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eastAsia" w:ascii="Times New Roman" w:hAnsi="Times New Roman" w:cs="Times New Roman"/>
          <w:lang w:val="en-US" w:eastAsia="zh-CN"/>
        </w:rPr>
      </w:pPr>
      <w:bookmarkStart w:id="14" w:name="_Toc17605"/>
      <w:r>
        <w:rPr>
          <w:rStyle w:val="28"/>
          <w:rFonts w:hint="eastAsia" w:ascii="Times New Roman" w:hAnsi="Times New Roman" w:cs="Times New Roman"/>
          <w:lang w:val="en-US" w:eastAsia="zh-CN"/>
        </w:rPr>
        <w:t>3.3</w:t>
      </w:r>
      <w:bookmarkStart w:id="15" w:name="OLE_LINK6"/>
      <w:r>
        <w:rPr>
          <w:rStyle w:val="28"/>
          <w:rFonts w:hint="eastAsia" w:ascii="Times New Roman" w:hAnsi="Times New Roman" w:cs="Times New Roman"/>
          <w:lang w:val="en-US" w:eastAsia="zh-CN"/>
        </w:rPr>
        <w:t>环境空气质量改善的迫切需求</w:t>
      </w:r>
      <w:bookmarkEnd w:id="15"/>
    </w:p>
    <w:bookmarkEnd w:id="14"/>
    <w:p w14:paraId="22EC5668">
      <w:pPr>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根据《2023年甘肃省生态环境状况公报》公布数据，</w:t>
      </w:r>
      <w:r>
        <w:rPr>
          <w:rFonts w:hint="eastAsia" w:ascii="Times New Roman" w:hAnsi="Times New Roman"/>
          <w:color w:val="000000" w:themeColor="text1"/>
          <w14:textFill>
            <w14:solidFill>
              <w14:schemeClr w14:val="tx1"/>
            </w14:solidFill>
          </w14:textFill>
        </w:rPr>
        <w:t>2023年全省环境空气质量与2022年相比，呈现“四升、三平、一降”，可吸入颗粒物(PM</w:t>
      </w:r>
      <w:r>
        <w:rPr>
          <w:rFonts w:hint="eastAsia" w:ascii="Times New Roman" w:hAnsi="Times New Roman"/>
          <w:color w:val="000000" w:themeColor="text1"/>
          <w:vertAlign w:val="subscript"/>
          <w:lang w:val="en-US" w:eastAsia="zh-CN"/>
          <w14:textFill>
            <w14:solidFill>
              <w14:schemeClr w14:val="tx1"/>
            </w14:solidFill>
          </w14:textFill>
        </w:rPr>
        <w:t>10</w:t>
      </w:r>
      <w:r>
        <w:rPr>
          <w:rFonts w:hint="eastAsia" w:ascii="Times New Roman" w:hAnsi="Times New Roman"/>
          <w:color w:val="000000" w:themeColor="text1"/>
          <w14:textFill>
            <w14:solidFill>
              <w14:schemeClr w14:val="tx1"/>
            </w14:solidFill>
          </w14:textFill>
        </w:rPr>
        <w:t>)、二氧化</w:t>
      </w:r>
      <w:r>
        <w:rPr>
          <w:rFonts w:hint="eastAsia" w:ascii="Times New Roman" w:hAnsi="Times New Roman"/>
          <w:color w:val="000000" w:themeColor="text1"/>
          <w:lang w:val="en-US" w:eastAsia="zh-CN"/>
          <w14:textFill>
            <w14:solidFill>
              <w14:schemeClr w14:val="tx1"/>
            </w14:solidFill>
          </w14:textFill>
        </w:rPr>
        <w:t>氮</w:t>
      </w:r>
      <w:r>
        <w:rPr>
          <w:rFonts w:hint="eastAsia" w:ascii="Times New Roman" w:hAnsi="Times New Roman"/>
          <w:color w:val="000000" w:themeColor="text1"/>
          <w14:textFill>
            <w14:solidFill>
              <w14:schemeClr w14:val="tx1"/>
            </w14:solidFill>
          </w14:textFill>
        </w:rPr>
        <w:t>(NO</w:t>
      </w:r>
      <w:r>
        <w:rPr>
          <w:rFonts w:hint="eastAsia" w:ascii="Times New Roman" w:hAnsi="Times New Roman"/>
          <w:color w:val="000000" w:themeColor="text1"/>
          <w:vertAlign w:val="subscript"/>
          <w:lang w:val="en-US" w:eastAsia="zh-CN"/>
          <w14:textFill>
            <w14:solidFill>
              <w14:schemeClr w14:val="tx1"/>
            </w14:solidFill>
          </w14:textFill>
        </w:rPr>
        <w:t>2</w:t>
      </w:r>
      <w:r>
        <w:rPr>
          <w:rFonts w:hint="eastAsia" w:ascii="Times New Roman" w:hAnsi="Times New Roman"/>
          <w:color w:val="000000" w:themeColor="text1"/>
          <w14:textFill>
            <w14:solidFill>
              <w14:schemeClr w14:val="tx1"/>
            </w14:solidFill>
          </w14:textFill>
        </w:rPr>
        <w:t>)、臭氧(</w:t>
      </w:r>
      <w:r>
        <w:rPr>
          <w:rFonts w:hint="eastAsia" w:ascii="Times New Roman" w:hAnsi="Times New Roman"/>
          <w:color w:val="000000" w:themeColor="text1"/>
          <w:lang w:val="en-US" w:eastAsia="zh-CN"/>
          <w14:textFill>
            <w14:solidFill>
              <w14:schemeClr w14:val="tx1"/>
            </w14:solidFill>
          </w14:textFill>
        </w:rPr>
        <w:t>O</w:t>
      </w:r>
      <w:r>
        <w:rPr>
          <w:rFonts w:hint="eastAsia" w:ascii="Times New Roman" w:hAnsi="Times New Roman"/>
          <w:color w:val="000000" w:themeColor="text1"/>
          <w:vertAlign w:val="subscript"/>
          <w:lang w:val="en-US" w:eastAsia="zh-CN"/>
          <w14:textFill>
            <w14:solidFill>
              <w14:schemeClr w14:val="tx1"/>
            </w14:solidFill>
          </w14:textFill>
        </w:rPr>
        <w:t>3</w:t>
      </w:r>
      <w:r>
        <w:rPr>
          <w:rFonts w:hint="eastAsia" w:ascii="Times New Roman" w:hAnsi="Times New Roman"/>
          <w:color w:val="000000" w:themeColor="text1"/>
          <w14:textFill>
            <w14:solidFill>
              <w14:schemeClr w14:val="tx1"/>
            </w14:solidFill>
          </w14:textFill>
        </w:rPr>
        <w:t>)、环境空气综合质量指数较去年同期上升，细颗粒物(PM</w:t>
      </w:r>
      <w:r>
        <w:rPr>
          <w:rFonts w:hint="eastAsia" w:ascii="Times New Roman" w:hAnsi="Times New Roman"/>
          <w:color w:val="000000" w:themeColor="text1"/>
          <w:vertAlign w:val="subscript"/>
          <w:lang w:val="en-US" w:eastAsia="zh-CN"/>
          <w14:textFill>
            <w14:solidFill>
              <w14:schemeClr w14:val="tx1"/>
            </w14:solidFill>
          </w14:textFill>
        </w:rPr>
        <w:t>2.5</w:t>
      </w:r>
      <w:r>
        <w:rPr>
          <w:rFonts w:hint="eastAsia" w:ascii="Times New Roman" w:hAnsi="Times New Roman"/>
          <w:color w:val="000000" w:themeColor="text1"/>
          <w14:textFill>
            <w14:solidFill>
              <w14:schemeClr w14:val="tx1"/>
            </w14:solidFill>
          </w14:textFill>
        </w:rPr>
        <w:t>)、二氧化硫(S</w:t>
      </w:r>
      <w:r>
        <w:rPr>
          <w:rFonts w:hint="eastAsia" w:ascii="Times New Roman" w:hAnsi="Times New Roman"/>
          <w:color w:val="000000" w:themeColor="text1"/>
          <w:lang w:val="en-US" w:eastAsia="zh-CN"/>
          <w14:textFill>
            <w14:solidFill>
              <w14:schemeClr w14:val="tx1"/>
            </w14:solidFill>
          </w14:textFill>
        </w:rPr>
        <w:t>O</w:t>
      </w:r>
      <w:r>
        <w:rPr>
          <w:rFonts w:hint="eastAsia" w:ascii="Times New Roman" w:hAnsi="Times New Roman"/>
          <w:color w:val="000000" w:themeColor="text1"/>
          <w:vertAlign w:val="subscript"/>
          <w:lang w:val="en-US" w:eastAsia="zh-CN"/>
          <w14:textFill>
            <w14:solidFill>
              <w14:schemeClr w14:val="tx1"/>
            </w14:solidFill>
          </w14:textFill>
        </w:rPr>
        <w:t>2</w:t>
      </w:r>
      <w:r>
        <w:rPr>
          <w:rFonts w:hint="eastAsia" w:ascii="Times New Roman" w:hAnsi="Times New Roman"/>
          <w:color w:val="000000" w:themeColor="text1"/>
          <w14:textFill>
            <w14:solidFill>
              <w14:schemeClr w14:val="tx1"/>
            </w14:solidFill>
          </w14:textFill>
        </w:rPr>
        <w:t>)、一氧化碳(CO)较去年同期持平，优良天数比率较去年同期下降。</w:t>
      </w:r>
      <w:r>
        <w:rPr>
          <w:rFonts w:hint="eastAsia" w:ascii="Times New Roman" w:hAnsi="Times New Roman"/>
          <w:color w:val="000000" w:themeColor="text1"/>
          <w:lang w:val="en-US" w:eastAsia="zh-CN"/>
          <w14:textFill>
            <w14:solidFill>
              <w14:schemeClr w14:val="tx1"/>
            </w14:solidFill>
          </w14:textFill>
        </w:rPr>
        <w:t>甘肃省环境空气质量总体保持稳定，但与保护和改善生活环境、生态环境，保障人体健康的环境空气质量标准还存在一定差距。</w:t>
      </w:r>
      <w:r>
        <w:rPr>
          <w:rFonts w:hint="eastAsia" w:ascii="Times New Roman" w:hAnsi="Times New Roman"/>
          <w:color w:val="000000" w:themeColor="text1"/>
          <w14:textFill>
            <w14:solidFill>
              <w14:schemeClr w14:val="tx1"/>
            </w14:solidFill>
          </w14:textFill>
        </w:rPr>
        <w:t>因此，为实现</w:t>
      </w:r>
      <w:bookmarkStart w:id="16" w:name="OLE_LINK5"/>
      <w:r>
        <w:rPr>
          <w:rFonts w:hint="eastAsia" w:ascii="Times New Roman" w:hAnsi="Times New Roman"/>
          <w:color w:val="000000" w:themeColor="text1"/>
          <w:lang w:val="en-US" w:eastAsia="zh-CN"/>
          <w14:textFill>
            <w14:solidFill>
              <w14:schemeClr w14:val="tx1"/>
            </w14:solidFill>
          </w14:textFill>
        </w:rPr>
        <w:t>甘肃</w:t>
      </w:r>
      <w:r>
        <w:rPr>
          <w:rFonts w:hint="eastAsia" w:ascii="Times New Roman" w:hAnsi="Times New Roman"/>
          <w:color w:val="000000" w:themeColor="text1"/>
          <w14:textFill>
            <w14:solidFill>
              <w14:schemeClr w14:val="tx1"/>
            </w14:solidFill>
          </w14:textFill>
        </w:rPr>
        <w:t>省环境空气质量目标</w:t>
      </w:r>
      <w:bookmarkEnd w:id="16"/>
      <w:r>
        <w:rPr>
          <w:rFonts w:hint="eastAsia" w:ascii="Times New Roman" w:hAnsi="Times New Roman"/>
          <w:color w:val="000000" w:themeColor="text1"/>
          <w14:textFill>
            <w14:solidFill>
              <w14:schemeClr w14:val="tx1"/>
            </w14:solidFill>
          </w14:textFill>
        </w:rPr>
        <w:t>，有必要根据实际需要对相关指标进行加严，以实现重点行业的大气污染物排放限值与大气环境管理目标的衔接。</w:t>
      </w:r>
    </w:p>
    <w:p w14:paraId="50E0670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eastAsia" w:ascii="Times New Roman" w:hAnsi="Times New Roman" w:cs="Times New Roman"/>
          <w:lang w:val="en-US" w:eastAsia="zh-CN"/>
        </w:rPr>
      </w:pPr>
      <w:bookmarkStart w:id="17" w:name="_Toc5051"/>
      <w:r>
        <w:rPr>
          <w:rStyle w:val="28"/>
          <w:rFonts w:hint="eastAsia" w:ascii="Times New Roman" w:hAnsi="Times New Roman" w:cs="Times New Roman"/>
          <w:lang w:val="en-US" w:eastAsia="zh-CN"/>
        </w:rPr>
        <w:t>3.4现行环保标准存在的主要问题</w:t>
      </w:r>
    </w:p>
    <w:bookmarkEnd w:id="17"/>
    <w:p w14:paraId="6B5DAE91">
      <w:pPr>
        <w:pStyle w:val="4"/>
        <w:bidi w:val="0"/>
        <w:rPr>
          <w:rFonts w:hint="eastAsia"/>
          <w:lang w:val="en-US" w:eastAsia="zh-CN"/>
        </w:rPr>
      </w:pPr>
      <w:r>
        <w:rPr>
          <w:rFonts w:hint="eastAsia"/>
          <w:lang w:val="en-US" w:eastAsia="zh-CN"/>
        </w:rPr>
        <w:t>3.5.1现行钢铁系列标准共同存在的问题</w:t>
      </w:r>
    </w:p>
    <w:p w14:paraId="3B552B0B">
      <w:pPr>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①目前钢铁企业无组织污染控制薄弱，标准在无组织管控措施方面欠缺。系列标准中规定“大气污染物无组织排放的采样点设在生产厂房门窗、屋顶、气楼等排放口处，并选择浓度最大值”，大多数部分企业厂房门窗、屋顶、气楼等位置不具备监测条件，无法按监测要求中规定的方法开展监测。</w:t>
      </w:r>
    </w:p>
    <w:p w14:paraId="0FF95979">
      <w:pPr>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②标准中引用的GB/T16157-1996对低浓度颗粒物不适用，随着钢铁行业执行特别排放限值和超低排放工作不断深入，钢铁行业颗粒物排放浓度限值持续收严，且在线监测数据已应用于达标判定。因此，涉及废气的钢铁系列排放标准中大气污染物浓度测定方法标准中应增加《固定污染源废气低浓度颗粒物的测定重量法》（HJ836-2017）、《固定污染源烟气（SO</w:t>
      </w:r>
      <w:r>
        <w:rPr>
          <w:rFonts w:hint="eastAsia" w:ascii="Times New Roman" w:hAnsi="Times New Roman"/>
          <w:color w:val="000000" w:themeColor="text1"/>
          <w:vertAlign w:val="subscript"/>
          <w14:textFill>
            <w14:solidFill>
              <w14:schemeClr w14:val="tx1"/>
            </w14:solidFill>
          </w14:textFill>
        </w:rPr>
        <w:t>2</w:t>
      </w:r>
      <w:r>
        <w:rPr>
          <w:rFonts w:hint="eastAsia" w:ascii="Times New Roman" w:hAnsi="Times New Roman"/>
          <w:color w:val="000000" w:themeColor="text1"/>
          <w14:textFill>
            <w14:solidFill>
              <w14:schemeClr w14:val="tx1"/>
            </w14:solidFill>
          </w14:textFill>
        </w:rPr>
        <w:t>、NO</w:t>
      </w:r>
      <w:r>
        <w:rPr>
          <w:rFonts w:hint="eastAsia" w:ascii="Times New Roman" w:hAnsi="Times New Roman"/>
          <w:color w:val="000000" w:themeColor="text1"/>
          <w:vertAlign w:val="subscript"/>
          <w14:textFill>
            <w14:solidFill>
              <w14:schemeClr w14:val="tx1"/>
            </w14:solidFill>
          </w14:textFill>
        </w:rPr>
        <w:t>X</w:t>
      </w:r>
      <w:r>
        <w:rPr>
          <w:rFonts w:hint="eastAsia" w:ascii="Times New Roman" w:hAnsi="Times New Roman"/>
          <w:color w:val="000000" w:themeColor="text1"/>
          <w14:textFill>
            <w14:solidFill>
              <w14:schemeClr w14:val="tx1"/>
            </w14:solidFill>
          </w14:textFill>
        </w:rPr>
        <w:t>、颗粒物）排放连续监测系统技术要求及检测方法》（HJ76-2017）等，以确保监测方法可行与监测数据的准确。</w:t>
      </w:r>
    </w:p>
    <w:p w14:paraId="34D6237D">
      <w:pPr>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③标准中规定“以即时采样或监测的结果，作为判定排污行为是否符合排放标准以及实施相关环境保护管理措施的依据”，但我国目前的大气污染物排放标准浓度限值均是指“小时均值”、“日均值”，在实际执行过程中执法人员按照即时采样或监测结果作为判定企业是否达标的依据，实际上加严了标准要求。</w:t>
      </w:r>
    </w:p>
    <w:p w14:paraId="1601AEF4">
      <w:pPr>
        <w:pStyle w:val="4"/>
        <w:bidi w:val="0"/>
        <w:rPr>
          <w:rFonts w:hint="eastAsia"/>
          <w:lang w:val="en-US" w:eastAsia="zh-CN"/>
        </w:rPr>
      </w:pPr>
      <w:r>
        <w:rPr>
          <w:rFonts w:hint="eastAsia"/>
          <w:lang w:val="en-US" w:eastAsia="zh-CN"/>
        </w:rPr>
        <w:t>3.5.2各工序单元标准存在的问题</w:t>
      </w:r>
    </w:p>
    <w:p w14:paraId="1A02D928">
      <w:pPr>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①钢铁系列标准中部分标准管控因子缺失，不能适应新的</w:t>
      </w:r>
      <w:r>
        <w:rPr>
          <w:rFonts w:hint="eastAsia" w:ascii="Times New Roman" w:hAnsi="Times New Roman" w:eastAsia="宋体" w:cs="Times New Roman"/>
          <w:color w:val="000000" w:themeColor="text1"/>
          <w14:textFill>
            <w14:solidFill>
              <w14:schemeClr w14:val="tx1"/>
            </w14:solidFill>
          </w14:textFill>
        </w:rPr>
        <w:t>环境管理要求。如：</w:t>
      </w:r>
      <w:r>
        <w:rPr>
          <w:rFonts w:hint="eastAsia" w:ascii="Times New Roman" w:hAnsi="Times New Roman"/>
          <w:color w:val="000000" w:themeColor="text1"/>
          <w14:textFill>
            <w14:solidFill>
              <w14:schemeClr w14:val="tx1"/>
            </w14:solidFill>
          </w14:textFill>
        </w:rPr>
        <w:t>石灰窑、白云石窑焙烧烟气未管控SO</w:t>
      </w:r>
      <w:r>
        <w:rPr>
          <w:rFonts w:hint="eastAsia" w:ascii="Times New Roman" w:hAnsi="Times New Roman"/>
          <w:color w:val="000000" w:themeColor="text1"/>
          <w:vertAlign w:val="subscript"/>
          <w14:textFill>
            <w14:solidFill>
              <w14:schemeClr w14:val="tx1"/>
            </w14:solidFill>
          </w14:textFill>
        </w:rPr>
        <w:t>2</w:t>
      </w:r>
      <w:r>
        <w:rPr>
          <w:rFonts w:hint="eastAsia" w:ascii="Times New Roman" w:hAnsi="Times New Roman"/>
          <w:color w:val="000000" w:themeColor="text1"/>
          <w14:textFill>
            <w14:solidFill>
              <w14:schemeClr w14:val="tx1"/>
            </w14:solidFill>
          </w14:textFill>
        </w:rPr>
        <w:t>、NO</w:t>
      </w:r>
      <w:r>
        <w:rPr>
          <w:rFonts w:hint="eastAsia" w:ascii="Times New Roman" w:hAnsi="Times New Roman"/>
          <w:color w:val="000000" w:themeColor="text1"/>
          <w:vertAlign w:val="subscript"/>
          <w14:textFill>
            <w14:solidFill>
              <w14:schemeClr w14:val="tx1"/>
            </w14:solidFill>
          </w14:textFill>
        </w:rPr>
        <w:t>X</w:t>
      </w:r>
      <w:r>
        <w:rPr>
          <w:rFonts w:hint="eastAsia" w:ascii="Times New Roman" w:hAnsi="Times New Roman"/>
          <w:color w:val="000000" w:themeColor="text1"/>
          <w14:textFill>
            <w14:solidFill>
              <w14:schemeClr w14:val="tx1"/>
            </w14:solidFill>
          </w14:textFill>
        </w:rPr>
        <w:t>，且未设置基准氧含量要求。</w:t>
      </w:r>
    </w:p>
    <w:p w14:paraId="264ACB35">
      <w:pPr>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②钢铁系列标准中部分排放限值较为宽松。如高炉热风炉SO</w:t>
      </w:r>
      <w:r>
        <w:rPr>
          <w:rFonts w:hint="eastAsia" w:ascii="Times New Roman" w:hAnsi="Times New Roman"/>
          <w:color w:val="000000" w:themeColor="text1"/>
          <w:vertAlign w:val="subscript"/>
          <w14:textFill>
            <w14:solidFill>
              <w14:schemeClr w14:val="tx1"/>
            </w14:solidFill>
          </w14:textFill>
        </w:rPr>
        <w:t>2</w:t>
      </w:r>
      <w:r>
        <w:rPr>
          <w:rFonts w:hint="eastAsia" w:ascii="Times New Roman" w:hAnsi="Times New Roman"/>
          <w:color w:val="000000" w:themeColor="text1"/>
          <w14:textFill>
            <w14:solidFill>
              <w14:schemeClr w14:val="tx1"/>
            </w14:solidFill>
          </w14:textFill>
        </w:rPr>
        <w:t>、NO</w:t>
      </w:r>
      <w:r>
        <w:rPr>
          <w:rFonts w:hint="eastAsia" w:ascii="Times New Roman" w:hAnsi="Times New Roman"/>
          <w:color w:val="000000" w:themeColor="text1"/>
          <w:vertAlign w:val="subscript"/>
          <w14:textFill>
            <w14:solidFill>
              <w14:schemeClr w14:val="tx1"/>
            </w14:solidFill>
          </w14:textFill>
        </w:rPr>
        <w:t>X</w:t>
      </w:r>
      <w:r>
        <w:rPr>
          <w:rFonts w:hint="eastAsia" w:ascii="Times New Roman" w:hAnsi="Times New Roman"/>
          <w:color w:val="000000" w:themeColor="text1"/>
          <w14:textFill>
            <w14:solidFill>
              <w14:schemeClr w14:val="tx1"/>
            </w14:solidFill>
          </w14:textFill>
        </w:rPr>
        <w:t>特别排放限值。</w:t>
      </w:r>
    </w:p>
    <w:p w14:paraId="64A4ED87">
      <w:pPr>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③大部分板带材生产企业未安装热轧精轧机颗粒物治理设施，热轧精轧机颗粒物有组织收集净化处理执行不到位。</w:t>
      </w:r>
    </w:p>
    <w:p w14:paraId="3F99B6AD">
      <w:pPr>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④无组织排放管控</w:t>
      </w:r>
      <w:r>
        <w:rPr>
          <w:rFonts w:hint="eastAsia" w:ascii="Times New Roman" w:hAnsi="Times New Roman"/>
          <w:color w:val="000000" w:themeColor="text1"/>
          <w:lang w:val="en-US" w:eastAsia="zh-CN"/>
          <w14:textFill>
            <w14:solidFill>
              <w14:schemeClr w14:val="tx1"/>
            </w14:solidFill>
          </w14:textFill>
        </w:rPr>
        <w:t>薄弱。</w:t>
      </w:r>
      <w:r>
        <w:rPr>
          <w:rFonts w:hint="eastAsia" w:ascii="Times New Roman" w:hAnsi="Times New Roman"/>
          <w:color w:val="000000" w:themeColor="text1"/>
          <w14:textFill>
            <w14:solidFill>
              <w14:schemeClr w14:val="tx1"/>
            </w14:solidFill>
          </w14:textFill>
        </w:rPr>
        <w:t>无组织排放管控在钢铁行业超低排放中占有很高的比重，无组织排放污染物具有数量大，分布广等特点，且不具有连续性，与有组织排放相比</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14:textFill>
            <w14:solidFill>
              <w14:schemeClr w14:val="tx1"/>
            </w14:solidFill>
          </w14:textFill>
        </w:rPr>
        <w:t>更难被发现及治理</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14:textFill>
            <w14:solidFill>
              <w14:schemeClr w14:val="tx1"/>
            </w14:solidFill>
          </w14:textFill>
        </w:rPr>
        <w:t>典型的无组织排放节点包括料场扬尘、冶炼车间扬尘、物料车辆运输扬尘、物料装卸扬尘等，以年产量500万吨的钢铁企业为例，一年的粉尘无组织排放量约为5000t，远远大于有组织排放的粉尘排放量，</w:t>
      </w:r>
      <w:r>
        <w:rPr>
          <w:rFonts w:hint="eastAsia" w:ascii="Times New Roman" w:hAnsi="Times New Roman"/>
          <w:color w:val="000000" w:themeColor="text1"/>
          <w:lang w:val="en-US" w:eastAsia="zh-CN"/>
          <w14:textFill>
            <w14:solidFill>
              <w14:schemeClr w14:val="tx1"/>
            </w14:solidFill>
          </w14:textFill>
        </w:rPr>
        <w:t>现行有效的国家强制性标准</w:t>
      </w:r>
      <w:r>
        <w:rPr>
          <w:rFonts w:hint="eastAsia" w:ascii="Times New Roman" w:hAnsi="Times New Roman"/>
          <w:color w:val="000000" w:themeColor="text1"/>
          <w14:textFill>
            <w14:solidFill>
              <w14:schemeClr w14:val="tx1"/>
            </w14:solidFill>
          </w14:textFill>
        </w:rPr>
        <w:t>在标准中</w:t>
      </w:r>
      <w:r>
        <w:rPr>
          <w:rFonts w:hint="eastAsia" w:ascii="Times New Roman" w:hAnsi="Times New Roman"/>
          <w:color w:val="000000" w:themeColor="text1"/>
          <w:lang w:val="en-US" w:eastAsia="zh-CN"/>
          <w14:textFill>
            <w14:solidFill>
              <w14:schemeClr w14:val="tx1"/>
            </w14:solidFill>
          </w14:textFill>
        </w:rPr>
        <w:t>明确规定对</w:t>
      </w:r>
      <w:r>
        <w:rPr>
          <w:rFonts w:hint="eastAsia" w:ascii="Times New Roman" w:hAnsi="Times New Roman"/>
          <w:color w:val="000000" w:themeColor="text1"/>
          <w14:textFill>
            <w14:solidFill>
              <w14:schemeClr w14:val="tx1"/>
            </w14:solidFill>
          </w14:textFill>
        </w:rPr>
        <w:t>各生产工序的无组织管控要求</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14:textFill>
            <w14:solidFill>
              <w14:schemeClr w14:val="tx1"/>
            </w14:solidFill>
          </w14:textFill>
        </w:rPr>
        <w:t>同时，与旧的标准相比，超低排放标准对无组织排放管控有了新的定义，对于新建企业来说，可以根据超低排放要求对相应无组织排放点位进行同步配套，而大部分钢铁企业为旧厂的环保改造工程，在正常生产的情况下进行技术改造的难度较大</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容易放松管控要求</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14:textFill>
            <w14:solidFill>
              <w14:schemeClr w14:val="tx1"/>
            </w14:solidFill>
          </w14:textFill>
        </w:rPr>
        <w:t>需要将管控措施与限值要求结合。</w:t>
      </w:r>
    </w:p>
    <w:p w14:paraId="2387744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default" w:ascii="Times New Roman" w:hAnsi="Times New Roman" w:cs="Times New Roman"/>
          <w:lang w:val="en-US" w:eastAsia="zh-CN"/>
        </w:rPr>
      </w:pPr>
      <w:bookmarkStart w:id="18" w:name="_Toc27302"/>
      <w:r>
        <w:rPr>
          <w:rStyle w:val="28"/>
          <w:rFonts w:hint="eastAsia" w:ascii="Times New Roman" w:hAnsi="Times New Roman" w:cs="Times New Roman"/>
          <w:lang w:val="en-US" w:eastAsia="zh-CN"/>
        </w:rPr>
        <w:t>3.5国内各省的响应示范</w:t>
      </w:r>
    </w:p>
    <w:bookmarkEnd w:id="18"/>
    <w:p w14:paraId="1609AEC4">
      <w:pPr>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国内主要钢铁产能大省积极响应国家和生态环境部相关政策，其中河北省《钢铁工业大气污染物超低排放标准》（DB13/2169—2018）、山东省《区域性大气污染物综合排放标准》（DB37/2376—2019）与《钢铁工业大气污染物排放标准》（DB37/990—2019）、陕西省《关中地区重点行业大气污染物排放标准》（DB61/941—2018）、河南省《</w:t>
      </w:r>
      <w:bookmarkStart w:id="19" w:name="OLE_LINK2"/>
      <w:r>
        <w:rPr>
          <w:rFonts w:hint="eastAsia" w:ascii="Times New Roman" w:hAnsi="Times New Roman"/>
          <w:color w:val="000000" w:themeColor="text1"/>
          <w14:textFill>
            <w14:solidFill>
              <w14:schemeClr w14:val="tx1"/>
            </w14:solidFill>
          </w14:textFill>
        </w:rPr>
        <w:t>钢铁工业大气污染物排放标准</w:t>
      </w:r>
      <w:bookmarkEnd w:id="19"/>
      <w:r>
        <w:rPr>
          <w:rFonts w:hint="eastAsia" w:ascii="Times New Roman" w:hAnsi="Times New Roman"/>
          <w:color w:val="000000" w:themeColor="text1"/>
          <w14:textFill>
            <w14:solidFill>
              <w14:schemeClr w14:val="tx1"/>
            </w14:solidFill>
          </w14:textFill>
        </w:rPr>
        <w:t>》（DB41/1954—2020）、山西省《钢铁工业大气污染物排放标准》（DB41/1954—2020）</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天津市《钢铁工业大气污染物排放标准》</w:t>
      </w:r>
      <w:r>
        <w:rPr>
          <w:rFonts w:hint="eastAsia" w:ascii="Times New Roman" w:hAnsi="Times New Roman"/>
          <w:color w:val="000000" w:themeColor="text1"/>
          <w14:textFill>
            <w14:solidFill>
              <w14:schemeClr w14:val="tx1"/>
            </w14:solidFill>
          </w14:textFill>
        </w:rPr>
        <w:t>（DB</w:t>
      </w:r>
      <w:r>
        <w:rPr>
          <w:rFonts w:hint="eastAsia" w:ascii="Times New Roman" w:hAnsi="Times New Roman"/>
          <w:color w:val="000000" w:themeColor="text1"/>
          <w:lang w:val="en-US" w:eastAsia="zh-CN"/>
          <w14:textFill>
            <w14:solidFill>
              <w14:schemeClr w14:val="tx1"/>
            </w14:solidFill>
          </w14:textFill>
        </w:rPr>
        <w:t>12</w:t>
      </w:r>
      <w:r>
        <w:rPr>
          <w:rFonts w:hint="eastAsia"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120</w:t>
      </w:r>
      <w:r>
        <w:rPr>
          <w:rFonts w:hint="eastAsia" w:ascii="Times New Roman" w:hAnsi="Times New Roman"/>
          <w:color w:val="000000" w:themeColor="text1"/>
          <w14:textFill>
            <w14:solidFill>
              <w14:schemeClr w14:val="tx1"/>
            </w14:solidFill>
          </w14:textFill>
        </w:rPr>
        <w:t>—202</w:t>
      </w:r>
      <w:r>
        <w:rPr>
          <w:rFonts w:hint="eastAsia" w:ascii="Times New Roman" w:hAnsi="Times New Roman"/>
          <w:color w:val="000000" w:themeColor="text1"/>
          <w:lang w:val="en-US" w:eastAsia="zh-CN"/>
          <w14:textFill>
            <w14:solidFill>
              <w14:schemeClr w14:val="tx1"/>
            </w14:solidFill>
          </w14:textFill>
        </w:rPr>
        <w:t>2</w:t>
      </w:r>
      <w:r>
        <w:rPr>
          <w:rFonts w:hint="eastAsia" w:ascii="Times New Roman" w:hAnsi="Times New Roman"/>
          <w:color w:val="000000" w:themeColor="text1"/>
          <w14:textFill>
            <w14:solidFill>
              <w14:schemeClr w14:val="tx1"/>
            </w14:solidFill>
          </w14:textFill>
        </w:rPr>
        <w:t>）相继完成</w:t>
      </w:r>
      <w:r>
        <w:rPr>
          <w:rFonts w:hint="eastAsia" w:ascii="Times New Roman" w:hAnsi="Times New Roman"/>
          <w:color w:val="000000" w:themeColor="text1"/>
          <w:lang w:val="en-US" w:eastAsia="zh-CN"/>
          <w14:textFill>
            <w14:solidFill>
              <w14:schemeClr w14:val="tx1"/>
            </w14:solidFill>
          </w14:textFill>
        </w:rPr>
        <w:t>制</w:t>
      </w:r>
      <w:r>
        <w:rPr>
          <w:rFonts w:hint="eastAsia" w:ascii="Times New Roman" w:hAnsi="Times New Roman"/>
          <w:color w:val="000000" w:themeColor="text1"/>
          <w14:textFill>
            <w14:solidFill>
              <w14:schemeClr w14:val="tx1"/>
            </w14:solidFill>
          </w14:textFill>
        </w:rPr>
        <w:t>修订发布，对进一步收严原有地方标准限值提出更高要求。</w:t>
      </w:r>
    </w:p>
    <w:p w14:paraId="2C9ED431">
      <w:pPr>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鉴于国家尚未出台统一的钢铁行业大气污染物排放标准，甘肃省亟需吸收河北、河南等先行省份的经验，制定</w:t>
      </w:r>
      <w:r>
        <w:rPr>
          <w:rFonts w:hint="eastAsia" w:ascii="Times New Roman" w:hAnsi="Times New Roman"/>
          <w:color w:val="000000" w:themeColor="text1"/>
          <w:lang w:val="en-US" w:eastAsia="zh-CN"/>
          <w14:textFill>
            <w14:solidFill>
              <w14:schemeClr w14:val="tx1"/>
            </w14:solidFill>
          </w14:textFill>
        </w:rPr>
        <w:t>符合甘肃省实际的</w:t>
      </w:r>
      <w:r>
        <w:rPr>
          <w:rFonts w:hint="eastAsia" w:ascii="Times New Roman" w:hAnsi="Times New Roman"/>
          <w:color w:val="000000" w:themeColor="text1"/>
          <w14:textFill>
            <w14:solidFill>
              <w14:schemeClr w14:val="tx1"/>
            </w14:solidFill>
          </w14:textFill>
        </w:rPr>
        <w:t>地方标准</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14:textFill>
            <w14:solidFill>
              <w14:schemeClr w14:val="tx1"/>
            </w14:solidFill>
          </w14:textFill>
        </w:rPr>
        <w:t>通过法规的形式，倒逼企业实施清洁生产改造，这对于巩固甘肃省全面实施超低排放改造的成果、确保钢铁企业污染物排放稳定达到《意见》规定的标准限值意义重大。同时，制定地方标准也是满足生态环境依法治污、科学治污、精准治污以及钢铁企业可持续健康发展的迫切需要。</w:t>
      </w:r>
    </w:p>
    <w:p w14:paraId="58798489">
      <w:pPr>
        <w:pStyle w:val="2"/>
        <w:bidi w:val="0"/>
      </w:pPr>
      <w:bookmarkStart w:id="20" w:name="_Toc4341"/>
      <w:r>
        <w:t>钢铁工业大气污染物产排污情况及控制技术</w:t>
      </w:r>
      <w:bookmarkEnd w:id="20"/>
    </w:p>
    <w:p w14:paraId="2197F10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eastAsia" w:ascii="Times New Roman" w:hAnsi="Times New Roman" w:cs="Times New Roman"/>
          <w:lang w:val="en-US" w:eastAsia="zh-CN"/>
        </w:rPr>
      </w:pPr>
      <w:bookmarkStart w:id="21" w:name="_Toc31113"/>
      <w:r>
        <w:rPr>
          <w:rStyle w:val="28"/>
          <w:rFonts w:hint="eastAsia" w:ascii="Times New Roman" w:hAnsi="Times New Roman" w:cs="Times New Roman"/>
          <w:lang w:val="en-US" w:eastAsia="zh-CN"/>
        </w:rPr>
        <w:t>4.1钢铁工业主要生产工艺及产排污情况</w:t>
      </w:r>
    </w:p>
    <w:bookmarkEnd w:id="21"/>
    <w:p w14:paraId="03FDCD5C">
      <w:pPr>
        <w:bidi w:val="0"/>
        <w:rPr>
          <w:rFonts w:hint="eastAsia"/>
        </w:rPr>
      </w:pPr>
      <w:r>
        <w:rPr>
          <w:rFonts w:hint="eastAsia"/>
        </w:rPr>
        <w:t>钢铁工业主要生产</w:t>
      </w:r>
      <w:r>
        <w:rPr>
          <w:rFonts w:hint="eastAsia"/>
          <w:lang w:val="en-US" w:eastAsia="zh-CN"/>
        </w:rPr>
        <w:t>工艺</w:t>
      </w:r>
      <w:r>
        <w:rPr>
          <w:rFonts w:hint="eastAsia"/>
        </w:rPr>
        <w:t>包括烧结（球团）、炼铁、炼钢</w:t>
      </w:r>
      <w:r>
        <w:rPr>
          <w:rFonts w:hint="eastAsia"/>
          <w:lang w:eastAsia="zh-CN"/>
        </w:rPr>
        <w:t>、</w:t>
      </w:r>
      <w:r>
        <w:rPr>
          <w:rFonts w:hint="eastAsia"/>
        </w:rPr>
        <w:t>轧钢</w:t>
      </w:r>
      <w:r>
        <w:rPr>
          <w:rFonts w:hint="eastAsia"/>
          <w:lang w:val="en-US" w:eastAsia="zh-CN"/>
        </w:rPr>
        <w:t>和焦化</w:t>
      </w:r>
      <w:r>
        <w:rPr>
          <w:rFonts w:hint="eastAsia"/>
        </w:rPr>
        <w:t>工序。其生产流程及排污节点见图4-1。</w:t>
      </w:r>
    </w:p>
    <w:p w14:paraId="102289D6">
      <w:pPr>
        <w:pStyle w:val="4"/>
        <w:bidi w:val="0"/>
        <w:rPr>
          <w:rFonts w:hint="eastAsia"/>
          <w:lang w:val="en-US" w:eastAsia="zh-CN"/>
        </w:rPr>
      </w:pPr>
      <w:r>
        <w:rPr>
          <w:rFonts w:hint="eastAsia"/>
          <w:lang w:val="en-US" w:eastAsia="zh-CN"/>
        </w:rPr>
        <w:t>4.1.1储运</w:t>
      </w:r>
    </w:p>
    <w:p w14:paraId="1A272DBF">
      <w:pPr>
        <w:bidi w:val="0"/>
        <w:rPr>
          <w:rFonts w:hint="eastAsia"/>
          <w:lang w:val="en-US" w:eastAsia="zh-CN"/>
        </w:rPr>
      </w:pPr>
      <w:r>
        <w:rPr>
          <w:rFonts w:hint="eastAsia"/>
          <w:lang w:val="en-US" w:eastAsia="zh-CN"/>
        </w:rPr>
        <w:t>（1）运输</w:t>
      </w:r>
    </w:p>
    <w:p w14:paraId="5AB01A5B">
      <w:pPr>
        <w:bidi w:val="0"/>
        <w:rPr>
          <w:rFonts w:hint="eastAsia"/>
          <w:lang w:val="en-US" w:eastAsia="zh-CN"/>
        </w:rPr>
      </w:pPr>
      <w:r>
        <w:rPr>
          <w:rFonts w:hint="eastAsia"/>
          <w:lang w:val="en-US" w:eastAsia="zh-CN"/>
        </w:rPr>
        <w:t>钢铁工业是大进大出的资源密集型产业，钢铁企业每生产1吨钢，各种原辅燃料、产品、副产品等外部运输量将高达5吨。钢铁企业原辅材料及产品的运输主要包括厂内运输及厂外运输2部分，运输方式主要包括铁路运输、公路运输、水路运输和皮带运输等。运输过程中产生的主要污染物为扬尘及运输车辆排放的CO、NO</w:t>
      </w:r>
      <w:r>
        <w:rPr>
          <w:rFonts w:hint="eastAsia"/>
          <w:vertAlign w:val="subscript"/>
          <w:lang w:val="en-US" w:eastAsia="zh-CN"/>
        </w:rPr>
        <w:t>X</w:t>
      </w:r>
      <w:r>
        <w:rPr>
          <w:rFonts w:hint="eastAsia"/>
          <w:lang w:val="en-US" w:eastAsia="zh-CN"/>
        </w:rPr>
        <w:t>、碳氢化合物等。</w:t>
      </w:r>
    </w:p>
    <w:p w14:paraId="5F8D23F6">
      <w:pPr>
        <w:bidi w:val="0"/>
        <w:ind w:left="0" w:leftChars="0" w:firstLine="0" w:firstLineChars="0"/>
        <w:jc w:val="center"/>
        <w:rPr>
          <w:rFonts w:ascii="宋体" w:hAnsi="宋体" w:eastAsia="宋体" w:cs="宋体"/>
          <w:color w:val="000000"/>
          <w:spacing w:val="-3"/>
          <w:sz w:val="21"/>
          <w:szCs w:val="21"/>
        </w:rPr>
      </w:pPr>
      <w:r>
        <w:drawing>
          <wp:inline distT="0" distB="0" distL="114300" distR="114300">
            <wp:extent cx="5248910" cy="52000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b="3579"/>
                    <a:stretch>
                      <a:fillRect/>
                    </a:stretch>
                  </pic:blipFill>
                  <pic:spPr>
                    <a:xfrm>
                      <a:off x="0" y="0"/>
                      <a:ext cx="5248910" cy="5200015"/>
                    </a:xfrm>
                    <a:prstGeom prst="rect">
                      <a:avLst/>
                    </a:prstGeom>
                    <a:noFill/>
                    <a:ln>
                      <a:noFill/>
                    </a:ln>
                  </pic:spPr>
                </pic:pic>
              </a:graphicData>
            </a:graphic>
          </wp:inline>
        </w:drawing>
      </w:r>
    </w:p>
    <w:p w14:paraId="6AF9EABA">
      <w:pPr>
        <w:spacing w:line="360" w:lineRule="auto"/>
        <w:ind w:firstLine="482" w:firstLineChars="200"/>
        <w:jc w:val="center"/>
        <w:rPr>
          <w:rFonts w:hint="eastAsia" w:ascii="Times New Roman" w:hAnsi="Times New Roman"/>
          <w:b/>
          <w:bCs/>
          <w:color w:val="000000" w:themeColor="text1"/>
          <w:lang w:val="en-US" w:eastAsia="zh-CN"/>
          <w14:textFill>
            <w14:solidFill>
              <w14:schemeClr w14:val="tx1"/>
            </w14:solidFill>
          </w14:textFill>
        </w:rPr>
      </w:pPr>
      <w:r>
        <w:rPr>
          <w:rFonts w:hint="eastAsia" w:ascii="Times New Roman" w:hAnsi="Times New Roman"/>
          <w:b/>
          <w:bCs/>
          <w:color w:val="000000" w:themeColor="text1"/>
          <w:lang w:val="en-US" w:eastAsia="zh-CN"/>
          <w14:textFill>
            <w14:solidFill>
              <w14:schemeClr w14:val="tx1"/>
            </w14:solidFill>
          </w14:textFill>
        </w:rPr>
        <w:t>图4-1典型钢铁企业生产工艺流程及产排污节点图</w:t>
      </w:r>
    </w:p>
    <w:p w14:paraId="4BC4217D">
      <w:pPr>
        <w:bidi w:val="0"/>
        <w:rPr>
          <w:rFonts w:hint="eastAsia"/>
          <w:lang w:val="en-US" w:eastAsia="zh-CN"/>
        </w:rPr>
      </w:pPr>
      <w:r>
        <w:rPr>
          <w:rFonts w:hint="eastAsia"/>
          <w:lang w:val="en-US" w:eastAsia="zh-CN"/>
        </w:rPr>
        <w:t>（2）原料场</w:t>
      </w:r>
    </w:p>
    <w:p w14:paraId="38FEBE90">
      <w:pPr>
        <w:bidi w:val="0"/>
        <w:rPr>
          <w:rFonts w:hint="eastAsia"/>
          <w:lang w:val="en-US" w:eastAsia="zh-CN"/>
        </w:rPr>
      </w:pPr>
      <w:r>
        <w:rPr>
          <w:rFonts w:hint="eastAsia"/>
          <w:lang w:val="en-US" w:eastAsia="zh-CN"/>
        </w:rPr>
        <w:t>原料场作为钢铁生产的重要组成部分，承担着烧结、球团、焦化、石灰、炼铁、炼钢等工艺生产所需的各类散状原料、燃料的装卸、贮存、加工和输送任务。各类原料、燃料在二级以上风力作用下极易干燥，装卸、输送、露天堆存产生的粉尘已成为生产、运输、贮存过程中无组织排放的主要污染源，其具有尘源点多、粉尘浓度高、治理面积大等特点。</w:t>
      </w:r>
    </w:p>
    <w:p w14:paraId="3A1E12AE">
      <w:pPr>
        <w:bidi w:val="0"/>
        <w:rPr>
          <w:rFonts w:hint="eastAsia"/>
          <w:lang w:val="en-US" w:eastAsia="zh-CN"/>
        </w:rPr>
      </w:pPr>
      <w:r>
        <w:rPr>
          <w:rFonts w:hint="eastAsia"/>
          <w:lang w:val="en-US" w:eastAsia="zh-CN"/>
        </w:rPr>
        <w:t>原料场根据工艺流程可分为装卸设施、储料场设施、原料处理设施（包括破碎、筛分、混匀等）、原料输送设施。其中装卸设施、原料处理、输送设施扬尘污染现象主要表现在原料转运过程中的集中扬尘，而对于储料场设施中扬尘污染主要由原料在堆、取料作业过程中以及原料在料场堆存期间受风力影响造成。由于风力作用，原料场附近大气含尘量高达100mg/m</w:t>
      </w:r>
      <w:r>
        <w:rPr>
          <w:rFonts w:hint="eastAsia"/>
          <w:vertAlign w:val="superscript"/>
          <w:lang w:val="en-US" w:eastAsia="zh-CN"/>
        </w:rPr>
        <w:t>3</w:t>
      </w:r>
      <w:r>
        <w:rPr>
          <w:rFonts w:hint="eastAsia"/>
          <w:lang w:val="en-US" w:eastAsia="zh-CN"/>
        </w:rPr>
        <w:t>，原料场堆存原料每年损失可达总储量的0.5%～2%。</w:t>
      </w:r>
    </w:p>
    <w:p w14:paraId="0EE7378A">
      <w:pPr>
        <w:bidi w:val="0"/>
        <w:rPr>
          <w:rFonts w:hint="eastAsia"/>
          <w:lang w:val="en-US" w:eastAsia="zh-CN"/>
        </w:rPr>
      </w:pPr>
      <w:r>
        <w:rPr>
          <w:rFonts w:hint="eastAsia"/>
          <w:lang w:val="en-US" w:eastAsia="zh-CN"/>
        </w:rPr>
        <w:t>料堆扬尘主要分为两大类：一类是料堆场表面的静态起尘；另一类是在堆、取料等过程中的动态起尘。前者主要与物料表面含水率、环境风速等关系密切，后者主要与作业落差，装卸强度等有关。对于储料场内堆、取料作业中，物料受自身物理特性（物料粒度、含水率等）影响依据转运落差以及天气、风速等作用，在冲击地面或料堆时均会造成细小颗粒漂移飞散产生扬尘。特别是</w:t>
      </w:r>
      <w:r>
        <w:rPr>
          <w:rFonts w:hint="default" w:ascii="Times New Roman" w:hAnsi="Times New Roman" w:cs="Times New Roman"/>
          <w:lang w:val="en-US" w:eastAsia="zh-CN"/>
        </w:rPr>
        <w:t>10μm</w:t>
      </w:r>
      <w:r>
        <w:rPr>
          <w:rFonts w:hint="eastAsia"/>
          <w:lang w:val="en-US" w:eastAsia="zh-CN"/>
        </w:rPr>
        <w:t>及</w:t>
      </w:r>
      <w:r>
        <w:rPr>
          <w:rFonts w:hint="default" w:ascii="Times New Roman" w:hAnsi="Times New Roman" w:cs="Times New Roman"/>
          <w:lang w:val="en-US" w:eastAsia="zh-CN"/>
        </w:rPr>
        <w:t>10μm</w:t>
      </w:r>
      <w:r>
        <w:rPr>
          <w:rFonts w:hint="eastAsia"/>
          <w:lang w:val="en-US" w:eastAsia="zh-CN"/>
        </w:rPr>
        <w:t>以下的颗粒最具危害。通常，原料场扬尘中粒径10µm以上颗粒约占总重量的96%，约有4%的粒径在10µm以下。</w:t>
      </w:r>
    </w:p>
    <w:p w14:paraId="5057EEEF">
      <w:pPr>
        <w:pStyle w:val="4"/>
        <w:bidi w:val="0"/>
        <w:rPr>
          <w:rFonts w:hint="eastAsia"/>
          <w:lang w:val="en-US" w:eastAsia="zh-CN"/>
        </w:rPr>
      </w:pPr>
      <w:r>
        <w:rPr>
          <w:rFonts w:hint="eastAsia"/>
          <w:lang w:val="en-US" w:eastAsia="zh-CN"/>
        </w:rPr>
        <w:t>4.1.2烧结/球团</w:t>
      </w:r>
    </w:p>
    <w:p w14:paraId="75DB6965">
      <w:pPr>
        <w:bidi w:val="0"/>
        <w:rPr>
          <w:rFonts w:hint="eastAsia"/>
          <w:lang w:val="en-US" w:eastAsia="zh-CN"/>
        </w:rPr>
      </w:pPr>
      <w:r>
        <w:rPr>
          <w:rFonts w:hint="eastAsia"/>
          <w:lang w:val="en-US" w:eastAsia="zh-CN"/>
        </w:rPr>
        <w:t>烧结、球团工序颗粒物和SO</w:t>
      </w:r>
      <w:r>
        <w:rPr>
          <w:rFonts w:hint="eastAsia"/>
          <w:vertAlign w:val="subscript"/>
          <w:lang w:val="en-US" w:eastAsia="zh-CN"/>
        </w:rPr>
        <w:t>2</w:t>
      </w:r>
      <w:r>
        <w:rPr>
          <w:rFonts w:hint="eastAsia"/>
          <w:lang w:val="en-US" w:eastAsia="zh-CN"/>
        </w:rPr>
        <w:t>、NO</w:t>
      </w:r>
      <w:r>
        <w:rPr>
          <w:rFonts w:hint="eastAsia"/>
          <w:vertAlign w:val="subscript"/>
          <w:lang w:val="en-US" w:eastAsia="zh-CN"/>
        </w:rPr>
        <w:t>X</w:t>
      </w:r>
      <w:r>
        <w:rPr>
          <w:rFonts w:hint="eastAsia"/>
          <w:lang w:val="en-US" w:eastAsia="zh-CN"/>
        </w:rPr>
        <w:t>排放总量占据整个钢铁冶炼过程的绝大部分比重，也是气体污染物产排污的最主要环节。</w:t>
      </w:r>
    </w:p>
    <w:p w14:paraId="04AEE28B">
      <w:pPr>
        <w:bidi w:val="0"/>
        <w:rPr>
          <w:rFonts w:hint="eastAsia"/>
          <w:b/>
          <w:bCs/>
          <w:lang w:val="en-US" w:eastAsia="zh-CN"/>
        </w:rPr>
      </w:pPr>
      <w:r>
        <w:rPr>
          <w:rFonts w:hint="eastAsia"/>
          <w:b/>
          <w:bCs/>
          <w:lang w:val="en-US" w:eastAsia="zh-CN"/>
        </w:rPr>
        <w:t>（1）烧结工艺</w:t>
      </w:r>
    </w:p>
    <w:p w14:paraId="0338E93F">
      <w:pPr>
        <w:bidi w:val="0"/>
        <w:rPr>
          <w:rFonts w:hint="eastAsia"/>
          <w:lang w:val="en-US" w:eastAsia="zh-CN"/>
        </w:rPr>
      </w:pPr>
      <w:r>
        <w:rPr>
          <w:rFonts w:hint="eastAsia"/>
          <w:lang w:val="en-US" w:eastAsia="zh-CN"/>
        </w:rPr>
        <w:t>烧结工艺是把铁精矿等含铁原料和燃料、熔剂混合在一起，利用其中的燃料燃烧，使部分含铁原料熔融，从而使散料粘结成块状，并满足后序炼铁对原料所需的强度和粒径的要求。烧结生产方法主要为带式烧结机法，工艺过程一般包括原燃料破碎筛分、配料、混合、布料、点火烧结、冷却、成品整粒等工序。</w:t>
      </w:r>
    </w:p>
    <w:p w14:paraId="5C1C1D96">
      <w:pPr>
        <w:bidi w:val="0"/>
        <w:rPr>
          <w:rFonts w:hint="eastAsia"/>
          <w:lang w:val="en-US" w:eastAsia="zh-CN"/>
        </w:rPr>
      </w:pPr>
      <w:r>
        <w:rPr>
          <w:rFonts w:hint="eastAsia"/>
          <w:lang w:val="en-US" w:eastAsia="zh-CN"/>
        </w:rPr>
        <w:t>烧结生产工艺过程将含铁原料、破碎后合格粒径的熔剂和燃料等烧结原、燃料按一定比例进行配料，送一次混合机加水混合，然后送二次混合机加水混合并造球。混合好的烧结料由布料器铺至烧结机台车上。为了防止篦条间隙漏料和保护篦条，篦条上先铺一层粒度为</w:t>
      </w:r>
      <w:r>
        <w:rPr>
          <w:rFonts w:hint="default" w:ascii="Times New Roman" w:hAnsi="Times New Roman" w:cs="Times New Roman"/>
          <w:lang w:val="en-US" w:eastAsia="zh-CN"/>
        </w:rPr>
        <w:t>12～20mm，厚度为30～50mm的成</w:t>
      </w:r>
      <w:r>
        <w:rPr>
          <w:rFonts w:hint="eastAsia"/>
          <w:lang w:val="en-US" w:eastAsia="zh-CN"/>
        </w:rPr>
        <w:t>品烧结矿作为铺底料。</w:t>
      </w:r>
    </w:p>
    <w:p w14:paraId="1E81EC10">
      <w:pPr>
        <w:bidi w:val="0"/>
        <w:rPr>
          <w:rFonts w:hint="eastAsia"/>
          <w:lang w:val="en-US" w:eastAsia="zh-CN"/>
        </w:rPr>
      </w:pPr>
      <w:r>
        <w:rPr>
          <w:rFonts w:hint="eastAsia"/>
          <w:lang w:val="en-US" w:eastAsia="zh-CN"/>
        </w:rPr>
        <w:t>点火炉点火使台车上混合料中燃料燃烧，下部强制抽风，使烧结混合料熔融变成烧结饼。经机尾破碎机(一次热破)破碎后进入冷却机，冷却后的烧结矿经二次破碎机破碎和数次筛分后，按粒度分成成品矿、铺底料和返矿。成品矿送往高炉，铺底料送铺底料槽，返矿则送返矿槽参加配料再使用。同时，烧结过程中产生的废气由主抽风机通过下部风箱进入主排气管，废气经净化设施净化后从烟囱排出。烧结生产工艺流程见图4-2。</w:t>
      </w:r>
    </w:p>
    <w:p w14:paraId="04AD0B6A">
      <w:pPr>
        <w:bidi w:val="0"/>
        <w:ind w:left="0" w:leftChars="0" w:firstLine="0" w:firstLineChars="0"/>
        <w:jc w:val="center"/>
        <w:rPr>
          <w:rFonts w:hint="eastAsia"/>
          <w:b/>
          <w:bCs/>
          <w:lang w:val="en-US" w:eastAsia="zh-CN"/>
        </w:rPr>
      </w:pPr>
      <w:r>
        <w:drawing>
          <wp:inline distT="0" distB="0" distL="114300" distR="114300">
            <wp:extent cx="5271770" cy="6581140"/>
            <wp:effectExtent l="0" t="0" r="5080" b="10160"/>
            <wp:docPr id="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pic:cNvPicPr>
                      <a:picLocks noChangeAspect="1"/>
                    </pic:cNvPicPr>
                  </pic:nvPicPr>
                  <pic:blipFill>
                    <a:blip r:embed="rId11"/>
                    <a:stretch>
                      <a:fillRect/>
                    </a:stretch>
                  </pic:blipFill>
                  <pic:spPr>
                    <a:xfrm>
                      <a:off x="0" y="0"/>
                      <a:ext cx="5271770" cy="6581140"/>
                    </a:xfrm>
                    <a:prstGeom prst="rect">
                      <a:avLst/>
                    </a:prstGeom>
                    <a:noFill/>
                    <a:ln>
                      <a:noFill/>
                    </a:ln>
                  </pic:spPr>
                </pic:pic>
              </a:graphicData>
            </a:graphic>
          </wp:inline>
        </w:drawing>
      </w:r>
    </w:p>
    <w:p w14:paraId="3C6617AB">
      <w:pPr>
        <w:spacing w:line="360" w:lineRule="auto"/>
        <w:ind w:firstLine="482" w:firstLineChars="200"/>
        <w:jc w:val="center"/>
        <w:rPr>
          <w:rFonts w:hint="eastAsia" w:ascii="Times New Roman" w:hAnsi="Times New Roman"/>
          <w:b/>
          <w:bCs/>
          <w:color w:val="000000" w:themeColor="text1"/>
          <w:lang w:val="en-US" w:eastAsia="zh-CN"/>
          <w14:textFill>
            <w14:solidFill>
              <w14:schemeClr w14:val="tx1"/>
            </w14:solidFill>
          </w14:textFill>
        </w:rPr>
      </w:pPr>
      <w:r>
        <w:rPr>
          <w:rFonts w:hint="eastAsia" w:ascii="Times New Roman" w:hAnsi="Times New Roman"/>
          <w:b/>
          <w:bCs/>
          <w:color w:val="000000" w:themeColor="text1"/>
          <w:lang w:val="en-US" w:eastAsia="zh-CN"/>
          <w14:textFill>
            <w14:solidFill>
              <w14:schemeClr w14:val="tx1"/>
            </w14:solidFill>
          </w14:textFill>
        </w:rPr>
        <w:t>图4-2烧结生产工艺流程及排污节点图</w:t>
      </w:r>
    </w:p>
    <w:p w14:paraId="3E4E43ED">
      <w:pPr>
        <w:bidi w:val="0"/>
        <w:rPr>
          <w:rFonts w:hint="eastAsia"/>
          <w:b/>
          <w:bCs/>
          <w:lang w:val="en-US" w:eastAsia="zh-CN"/>
        </w:rPr>
      </w:pPr>
      <w:r>
        <w:rPr>
          <w:rFonts w:hint="eastAsia"/>
          <w:b/>
          <w:bCs/>
          <w:lang w:val="en-US" w:eastAsia="zh-CN"/>
        </w:rPr>
        <w:t>（2）球团工艺</w:t>
      </w:r>
    </w:p>
    <w:p w14:paraId="12F3E1F1">
      <w:pPr>
        <w:bidi w:val="0"/>
        <w:rPr>
          <w:rFonts w:hint="eastAsia"/>
          <w:lang w:val="en-US" w:eastAsia="zh-CN"/>
        </w:rPr>
      </w:pPr>
      <w:r>
        <w:rPr>
          <w:rFonts w:hint="eastAsia"/>
          <w:lang w:val="en-US" w:eastAsia="zh-CN"/>
        </w:rPr>
        <w:t>球团生产是把铁精粉矿等含铁原料与适量的膨润土均匀混合后，通过造球机造生球，然后高温焙烧，使其氧化固结的过程。球团生产的工艺主要包括含铁原料的干燥、配料、干燥、混合润磨、造球、筛分、布料、焙烧、冷却和成品输出等工序。</w:t>
      </w:r>
    </w:p>
    <w:p w14:paraId="21D62E0E">
      <w:pPr>
        <w:bidi w:val="0"/>
        <w:rPr>
          <w:rFonts w:hint="eastAsia"/>
          <w:lang w:val="en-US" w:eastAsia="zh-CN"/>
        </w:rPr>
      </w:pPr>
      <w:r>
        <w:rPr>
          <w:rFonts w:hint="eastAsia"/>
          <w:lang w:val="en-US" w:eastAsia="zh-CN"/>
        </w:rPr>
        <w:t>目前采用较多的球团焙烧方法主要有竖炉法、带式焙烧机法和链箅机-回转窑法。焙烧过程一般包括干燥、预热、焙烧、冷却等不同的工艺阶段。</w:t>
      </w:r>
    </w:p>
    <w:p w14:paraId="60A9AABB">
      <w:pPr>
        <w:bidi w:val="0"/>
        <w:rPr>
          <w:rFonts w:hint="eastAsia"/>
          <w:lang w:val="en-US" w:eastAsia="zh-CN"/>
        </w:rPr>
      </w:pPr>
      <w:r>
        <w:rPr>
          <w:rFonts w:hint="default"/>
          <w:lang w:val="en-US" w:eastAsia="zh-CN"/>
        </w:rPr>
        <w:t>①</w:t>
      </w:r>
      <w:r>
        <w:rPr>
          <w:rFonts w:hint="eastAsia"/>
          <w:lang w:val="en-US" w:eastAsia="zh-CN"/>
        </w:rPr>
        <w:t>竖炉法：竖炉是用来焙烧铁矿球团的最早设备。竖炉法具有结构简单、材质无特殊要求、投资少、热效率高、操作维修方便等优点。用竖炉生产的氧化球团矿由于球团矿强度低、粉化率高，只适宜于在中小型高炉中使用，竖炉单炉能力较小，对原料适应性较差，故不能满足现代高炉对熟料的要求。因此，在应用和发展上受到一定限制。</w:t>
      </w:r>
    </w:p>
    <w:p w14:paraId="3816AE7C">
      <w:pPr>
        <w:spacing w:line="520" w:lineRule="exact"/>
        <w:ind w:firstLine="480" w:firstLineChars="200"/>
        <w:rPr>
          <w:rFonts w:ascii="宋体" w:hAnsi="宋体"/>
          <w:sz w:val="24"/>
        </w:rPr>
      </w:pPr>
      <w:r>
        <w:rPr>
          <w:rFonts w:hint="default" w:ascii="Calibri" w:hAnsi="Calibri" w:cs="Calibri"/>
          <w:sz w:val="24"/>
        </w:rPr>
        <w:t>②</w:t>
      </w:r>
      <w:r>
        <w:rPr>
          <w:rFonts w:hint="eastAsia" w:ascii="宋体" w:hAnsi="宋体"/>
          <w:sz w:val="24"/>
        </w:rPr>
        <w:t>带式焙烧机法：带式焙烧机是一种历史早、灵活性大、使用范围广的细粒造块设备，用于球团矿生产则始于</w:t>
      </w:r>
      <w:r>
        <w:rPr>
          <w:rFonts w:ascii="宋体" w:hAnsi="宋体"/>
          <w:sz w:val="24"/>
        </w:rPr>
        <w:t>50</w:t>
      </w:r>
      <w:r>
        <w:rPr>
          <w:rFonts w:hint="eastAsia" w:ascii="宋体" w:hAnsi="宋体"/>
          <w:sz w:val="24"/>
        </w:rPr>
        <w:t>年代。其操作简单、控制方便、处理事故及时，焙烧周期比竖炉短，可以处理各种矿石。</w:t>
      </w:r>
    </w:p>
    <w:p w14:paraId="3407C34D">
      <w:pPr>
        <w:spacing w:line="520" w:lineRule="exact"/>
        <w:ind w:firstLine="480" w:firstLineChars="200"/>
        <w:rPr>
          <w:rFonts w:ascii="宋体" w:hAnsi="宋体"/>
          <w:sz w:val="24"/>
        </w:rPr>
      </w:pPr>
      <w:r>
        <w:rPr>
          <w:rFonts w:hint="default" w:ascii="Calibri" w:hAnsi="Calibri" w:cs="Calibri"/>
          <w:sz w:val="24"/>
        </w:rPr>
        <w:t>③</w:t>
      </w:r>
      <w:r>
        <w:rPr>
          <w:rFonts w:hint="eastAsia" w:ascii="宋体" w:hAnsi="宋体"/>
          <w:sz w:val="24"/>
        </w:rPr>
        <w:t>链箅机－回转窑法：链箅机</w:t>
      </w:r>
      <w:r>
        <w:rPr>
          <w:rFonts w:ascii="宋体" w:hAnsi="宋体"/>
          <w:sz w:val="24"/>
        </w:rPr>
        <w:t>-</w:t>
      </w:r>
      <w:r>
        <w:rPr>
          <w:rFonts w:hint="eastAsia" w:ascii="宋体" w:hAnsi="宋体"/>
          <w:sz w:val="24"/>
        </w:rPr>
        <w:t>回转窑是一种联合机组，包括链箅机、回转窑、冷却机及其附属设备。这种球团工艺的特点是干燥预热、焙烧和冷却过程分别在三台不同的设备上进行。生球首先在链箅机上干燥、脱水、预热，而后进入回转窑内焙烧，最后在冷却机上完成冷却。</w:t>
      </w:r>
    </w:p>
    <w:p w14:paraId="4E562E0C">
      <w:pPr>
        <w:spacing w:line="520" w:lineRule="exact"/>
        <w:ind w:firstLine="480" w:firstLineChars="200"/>
        <w:rPr>
          <w:rFonts w:hint="eastAsia" w:ascii="宋体" w:hAnsi="宋体"/>
          <w:sz w:val="24"/>
        </w:rPr>
      </w:pPr>
      <w:r>
        <w:rPr>
          <w:rFonts w:hint="eastAsia" w:ascii="宋体" w:hAnsi="宋体"/>
          <w:sz w:val="24"/>
        </w:rPr>
        <w:t>竖炉球团工艺不能用赤铁矿作原料，且随着大型高炉的建设和精料的要求，竖炉生产能力不能满足大型高炉的需要。链篦机—回转窑球团矿生产工艺与带式焙烧机球团矿生产工艺相比较，前者具有对原料性质变动适应性较强、可用煤作燃料、制作主体设备对选用的耐高温材料要求相对较低和成品球团质量均匀等优点，更适合我国的国情，因此，基本成为国内球团生产的首选工艺。链箅机－回转窑生产工艺流程见图4-</w:t>
      </w:r>
      <w:r>
        <w:rPr>
          <w:rFonts w:hint="eastAsia" w:ascii="宋体" w:hAnsi="宋体"/>
          <w:sz w:val="24"/>
          <w:lang w:val="en-US" w:eastAsia="zh-CN"/>
        </w:rPr>
        <w:t>3</w:t>
      </w:r>
      <w:r>
        <w:rPr>
          <w:rFonts w:hint="eastAsia" w:ascii="宋体" w:hAnsi="宋体"/>
          <w:sz w:val="24"/>
        </w:rPr>
        <w:t>。</w:t>
      </w:r>
    </w:p>
    <w:p w14:paraId="60728FAF">
      <w:pPr>
        <w:bidi w:val="0"/>
        <w:rPr>
          <w:rFonts w:hint="default"/>
          <w:b/>
          <w:bCs/>
          <w:color w:val="auto"/>
          <w:lang w:val="en-US" w:eastAsia="zh-CN"/>
        </w:rPr>
      </w:pPr>
      <w:r>
        <w:rPr>
          <w:rFonts w:hint="eastAsia"/>
          <w:b/>
          <w:bCs/>
          <w:color w:val="auto"/>
          <w:lang w:val="en-US" w:eastAsia="zh-CN"/>
        </w:rPr>
        <w:t>（3）污染物排放特征</w:t>
      </w:r>
    </w:p>
    <w:p w14:paraId="2D311898">
      <w:pPr>
        <w:bidi w:val="0"/>
        <w:rPr>
          <w:rFonts w:hint="eastAsia"/>
          <w:lang w:val="en-US" w:eastAsia="zh-CN"/>
        </w:rPr>
      </w:pPr>
      <w:r>
        <w:rPr>
          <w:rFonts w:hint="eastAsia"/>
          <w:color w:val="auto"/>
          <w:lang w:val="en-US" w:eastAsia="zh-CN"/>
        </w:rPr>
        <w:t>烧结燃料破碎、原燃料配料、混合整个原料准备阶段，烧结台车上混合料点火焙烧过程中，以及烧结过程结束后，烧结矿冷却、破碎、筛分、转运过程中都会产生大量的颗粒物；同时，由于烧结所使用的铁矿石原料以及煤粉、焦粉等燃料中含硫，因此在高温焙烧时，会产生SO</w:t>
      </w:r>
      <w:r>
        <w:rPr>
          <w:rFonts w:hint="eastAsia"/>
          <w:color w:val="auto"/>
          <w:vertAlign w:val="subscript"/>
          <w:lang w:val="en-US" w:eastAsia="zh-CN"/>
        </w:rPr>
        <w:t>2</w:t>
      </w:r>
      <w:r>
        <w:rPr>
          <w:rFonts w:hint="eastAsia"/>
          <w:color w:val="auto"/>
          <w:lang w:val="en-US" w:eastAsia="zh-CN"/>
        </w:rPr>
        <w:t>和NO</w:t>
      </w:r>
      <w:r>
        <w:rPr>
          <w:rFonts w:hint="eastAsia"/>
          <w:color w:val="auto"/>
          <w:vertAlign w:val="subscript"/>
          <w:lang w:val="en-US" w:eastAsia="zh-CN"/>
        </w:rPr>
        <w:t>X</w:t>
      </w:r>
      <w:r>
        <w:rPr>
          <w:rFonts w:hint="eastAsia"/>
          <w:color w:val="auto"/>
          <w:lang w:val="en-US" w:eastAsia="zh-CN"/>
        </w:rPr>
        <w:t>、二噁英等污染物。球团生产的产排污状况与烧结基本类似，主要包括链篦机预热、回转窑焙烧或竖炉焙烧产生大量含颗粒物、SO</w:t>
      </w:r>
      <w:r>
        <w:rPr>
          <w:rFonts w:hint="eastAsia"/>
          <w:color w:val="auto"/>
          <w:vertAlign w:val="subscript"/>
          <w:lang w:val="en-US" w:eastAsia="zh-CN"/>
        </w:rPr>
        <w:t>2</w:t>
      </w:r>
      <w:r>
        <w:rPr>
          <w:rFonts w:hint="eastAsia"/>
          <w:color w:val="auto"/>
          <w:lang w:val="en-US" w:eastAsia="zh-CN"/>
        </w:rPr>
        <w:t>、NOx的废气，配料及成品运</w:t>
      </w:r>
      <w:r>
        <w:rPr>
          <w:rFonts w:hint="eastAsia"/>
          <w:lang w:val="en-US" w:eastAsia="zh-CN"/>
        </w:rPr>
        <w:t>输等过程中产生大量含颗粒物废气等。</w:t>
      </w:r>
    </w:p>
    <w:p w14:paraId="33B3BDAD">
      <w:pPr>
        <w:bidi w:val="0"/>
        <w:ind w:left="0" w:leftChars="0" w:firstLine="0" w:firstLineChars="0"/>
      </w:pPr>
      <w:r>
        <w:drawing>
          <wp:inline distT="0" distB="0" distL="114300" distR="114300">
            <wp:extent cx="5267960" cy="5449570"/>
            <wp:effectExtent l="0" t="0" r="8890" b="17780"/>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
                    <pic:cNvPicPr>
                      <a:picLocks noChangeAspect="1"/>
                    </pic:cNvPicPr>
                  </pic:nvPicPr>
                  <pic:blipFill>
                    <a:blip r:embed="rId12"/>
                    <a:stretch>
                      <a:fillRect/>
                    </a:stretch>
                  </pic:blipFill>
                  <pic:spPr>
                    <a:xfrm>
                      <a:off x="0" y="0"/>
                      <a:ext cx="5267960" cy="5449570"/>
                    </a:xfrm>
                    <a:prstGeom prst="rect">
                      <a:avLst/>
                    </a:prstGeom>
                    <a:noFill/>
                    <a:ln>
                      <a:noFill/>
                    </a:ln>
                  </pic:spPr>
                </pic:pic>
              </a:graphicData>
            </a:graphic>
          </wp:inline>
        </w:drawing>
      </w:r>
    </w:p>
    <w:p w14:paraId="15DD6A0C">
      <w:pPr>
        <w:spacing w:line="360" w:lineRule="auto"/>
        <w:ind w:firstLine="482" w:firstLineChars="200"/>
        <w:jc w:val="center"/>
        <w:rPr>
          <w:rFonts w:hint="eastAsia" w:ascii="Times New Roman" w:hAnsi="Times New Roman"/>
          <w:b/>
          <w:bCs/>
          <w:color w:val="000000" w:themeColor="text1"/>
          <w:lang w:val="en-US" w:eastAsia="zh-CN"/>
          <w14:textFill>
            <w14:solidFill>
              <w14:schemeClr w14:val="tx1"/>
            </w14:solidFill>
          </w14:textFill>
        </w:rPr>
      </w:pPr>
      <w:r>
        <w:rPr>
          <w:rFonts w:hint="eastAsia" w:ascii="Times New Roman" w:hAnsi="Times New Roman"/>
          <w:b/>
          <w:bCs/>
          <w:color w:val="000000" w:themeColor="text1"/>
          <w:lang w:val="en-US" w:eastAsia="zh-CN"/>
          <w14:textFill>
            <w14:solidFill>
              <w14:schemeClr w14:val="tx1"/>
            </w14:solidFill>
          </w14:textFill>
        </w:rPr>
        <w:t>图4-3链箅机－回转窑生产工艺流程及排污节点图</w:t>
      </w:r>
    </w:p>
    <w:p w14:paraId="03A356A1">
      <w:pPr>
        <w:bidi w:val="0"/>
        <w:rPr>
          <w:rFonts w:hint="default"/>
          <w:lang w:val="en-US" w:eastAsia="zh-CN"/>
        </w:rPr>
      </w:pPr>
      <w:r>
        <w:rPr>
          <w:rFonts w:hint="default"/>
          <w:lang w:val="en-US" w:eastAsia="zh-CN"/>
        </w:rPr>
        <w:t>烧结工序</w:t>
      </w:r>
      <w:r>
        <w:rPr>
          <w:rFonts w:hint="eastAsia"/>
          <w:lang w:val="en-US" w:eastAsia="zh-CN"/>
        </w:rPr>
        <w:t>颗粒物废气</w:t>
      </w:r>
      <w:r>
        <w:rPr>
          <w:rFonts w:hint="default"/>
          <w:lang w:val="en-US" w:eastAsia="zh-CN"/>
        </w:rPr>
        <w:t>主要来自烧结机头抽风箱外排烟气和机尾卸出的烧结矿在破碎、筛分时产生的粉尘，主要为铁氧化物、SiO</w:t>
      </w:r>
      <w:r>
        <w:rPr>
          <w:rFonts w:hint="default"/>
          <w:vertAlign w:val="subscript"/>
          <w:lang w:val="en-US" w:eastAsia="zh-CN"/>
        </w:rPr>
        <w:t>2</w:t>
      </w:r>
      <w:r>
        <w:rPr>
          <w:rFonts w:hint="default"/>
          <w:lang w:val="en-US" w:eastAsia="zh-CN"/>
        </w:rPr>
        <w:t>、Al2O</w:t>
      </w:r>
      <w:r>
        <w:rPr>
          <w:rFonts w:hint="default"/>
          <w:vertAlign w:val="subscript"/>
          <w:lang w:val="en-US" w:eastAsia="zh-CN"/>
        </w:rPr>
        <w:t>3</w:t>
      </w:r>
      <w:r>
        <w:rPr>
          <w:rFonts w:hint="default"/>
          <w:lang w:val="en-US" w:eastAsia="zh-CN"/>
        </w:rPr>
        <w:t>、CaO和MgO等</w:t>
      </w:r>
      <w:r>
        <w:rPr>
          <w:rFonts w:hint="eastAsia"/>
          <w:lang w:val="en-US" w:eastAsia="zh-CN"/>
        </w:rPr>
        <w:t>，其特性见表4-1</w:t>
      </w:r>
      <w:r>
        <w:rPr>
          <w:rFonts w:hint="default"/>
          <w:lang w:val="en-US" w:eastAsia="zh-CN"/>
        </w:rPr>
        <w:t>；烧结烟气中粉尘粒径在5µm以下的微细颗粒占到粉尘总量的32%以上，绝大多数为大于1011Ω·cm高比电阻粉尘。根据相关取样分析资料，烧结机头烟尘中粒径10µm以下颗粒占比约51%、2.5µm以下颗粒占比约44%；烧结机尾及其他烟尘中粒径10µm以下颗粒占比约8%、2.5µm以下颗粒占比约6%。</w:t>
      </w:r>
    </w:p>
    <w:p w14:paraId="6AB42235">
      <w:pPr>
        <w:spacing w:line="360" w:lineRule="auto"/>
        <w:ind w:firstLine="482" w:firstLineChars="200"/>
        <w:jc w:val="center"/>
        <w:rPr>
          <w:rFonts w:hint="eastAsia" w:ascii="Times New Roman" w:hAnsi="Times New Roman"/>
          <w:b/>
          <w:bCs/>
          <w:color w:val="000000" w:themeColor="text1"/>
          <w:lang w:val="en-US" w:eastAsia="zh-CN"/>
          <w14:textFill>
            <w14:solidFill>
              <w14:schemeClr w14:val="tx1"/>
            </w14:solidFill>
          </w14:textFill>
        </w:rPr>
      </w:pPr>
    </w:p>
    <w:p w14:paraId="21375904">
      <w:pPr>
        <w:spacing w:line="360" w:lineRule="auto"/>
        <w:ind w:firstLine="482" w:firstLineChars="200"/>
        <w:jc w:val="center"/>
        <w:rPr>
          <w:rFonts w:hint="eastAsia" w:ascii="Times New Roman" w:hAnsi="Times New Roman"/>
          <w:b/>
          <w:bCs/>
          <w:color w:val="000000" w:themeColor="text1"/>
          <w:lang w:val="en-US" w:eastAsia="zh-CN"/>
          <w14:textFill>
            <w14:solidFill>
              <w14:schemeClr w14:val="tx1"/>
            </w14:solidFill>
          </w14:textFill>
        </w:rPr>
      </w:pPr>
    </w:p>
    <w:p w14:paraId="4E83BEC8">
      <w:pPr>
        <w:spacing w:line="360" w:lineRule="auto"/>
        <w:ind w:firstLine="482" w:firstLineChars="200"/>
        <w:jc w:val="center"/>
        <w:rPr>
          <w:rFonts w:hint="eastAsia" w:ascii="Times New Roman" w:hAnsi="Times New Roman"/>
          <w:b/>
          <w:bCs/>
          <w:color w:val="000000" w:themeColor="text1"/>
          <w:lang w:val="en-US" w:eastAsia="zh-CN"/>
          <w14:textFill>
            <w14:solidFill>
              <w14:schemeClr w14:val="tx1"/>
            </w14:solidFill>
          </w14:textFill>
        </w:rPr>
      </w:pPr>
      <w:r>
        <w:rPr>
          <w:rFonts w:hint="eastAsia" w:ascii="Times New Roman" w:hAnsi="Times New Roman"/>
          <w:b/>
          <w:bCs/>
          <w:color w:val="000000" w:themeColor="text1"/>
          <w:lang w:val="en-US" w:eastAsia="zh-CN"/>
          <w14:textFill>
            <w14:solidFill>
              <w14:schemeClr w14:val="tx1"/>
            </w14:solidFill>
          </w14:textFill>
        </w:rPr>
        <w:t>表4-1烧结工序粉尘特性</w:t>
      </w:r>
    </w:p>
    <w:tbl>
      <w:tblPr>
        <w:tblStyle w:val="17"/>
        <w:tblW w:w="5003" w:type="pct"/>
        <w:jc w:val="center"/>
        <w:tblLayout w:type="fixed"/>
        <w:tblCellMar>
          <w:top w:w="0" w:type="dxa"/>
          <w:left w:w="0" w:type="dxa"/>
          <w:bottom w:w="0" w:type="dxa"/>
          <w:right w:w="0" w:type="dxa"/>
        </w:tblCellMar>
      </w:tblPr>
      <w:tblGrid>
        <w:gridCol w:w="622"/>
        <w:gridCol w:w="1531"/>
        <w:gridCol w:w="817"/>
        <w:gridCol w:w="721"/>
        <w:gridCol w:w="817"/>
        <w:gridCol w:w="722"/>
        <w:gridCol w:w="516"/>
        <w:gridCol w:w="618"/>
        <w:gridCol w:w="609"/>
        <w:gridCol w:w="615"/>
        <w:gridCol w:w="727"/>
      </w:tblGrid>
      <w:tr w14:paraId="051CE1DA">
        <w:tblPrEx>
          <w:tblCellMar>
            <w:top w:w="0" w:type="dxa"/>
            <w:left w:w="0" w:type="dxa"/>
            <w:bottom w:w="0" w:type="dxa"/>
            <w:right w:w="0" w:type="dxa"/>
          </w:tblCellMar>
        </w:tblPrEx>
        <w:trPr>
          <w:trHeight w:val="379" w:hRule="exact"/>
          <w:jc w:val="center"/>
        </w:trPr>
        <w:tc>
          <w:tcPr>
            <w:tcW w:w="622" w:type="dxa"/>
            <w:vMerge w:val="restart"/>
            <w:tcBorders>
              <w:top w:val="single" w:color="000000" w:sz="2" w:space="0"/>
              <w:left w:val="single" w:color="000000" w:sz="2" w:space="0"/>
              <w:bottom w:val="single" w:color="000000" w:sz="2" w:space="0"/>
              <w:right w:val="single" w:color="000000" w:sz="2" w:space="0"/>
            </w:tcBorders>
            <w:vAlign w:val="center"/>
          </w:tcPr>
          <w:p w14:paraId="3EB7B95D">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color w:val="000000"/>
                <w:spacing w:val="-6"/>
                <w:sz w:val="21"/>
                <w:szCs w:val="21"/>
              </w:rPr>
              <w:t>生产</w:t>
            </w:r>
          </w:p>
          <w:p w14:paraId="6A464EE0">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color w:val="000000"/>
                <w:spacing w:val="-6"/>
                <w:sz w:val="21"/>
                <w:szCs w:val="21"/>
              </w:rPr>
              <w:t>流程</w:t>
            </w:r>
          </w:p>
        </w:tc>
        <w:tc>
          <w:tcPr>
            <w:tcW w:w="1528" w:type="dxa"/>
            <w:vMerge w:val="restart"/>
            <w:tcBorders>
              <w:top w:val="single" w:color="000000" w:sz="2" w:space="0"/>
              <w:left w:val="single" w:color="000000" w:sz="2" w:space="0"/>
              <w:bottom w:val="single" w:color="000000" w:sz="2" w:space="0"/>
              <w:right w:val="single" w:color="000000" w:sz="2" w:space="0"/>
            </w:tcBorders>
            <w:vAlign w:val="center"/>
          </w:tcPr>
          <w:p w14:paraId="3FE4C4AC">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p>
          <w:p w14:paraId="14986675">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color w:val="000000"/>
                <w:spacing w:val="-4"/>
                <w:sz w:val="21"/>
                <w:szCs w:val="21"/>
              </w:rPr>
              <w:t>产尘点</w:t>
            </w:r>
          </w:p>
        </w:tc>
        <w:tc>
          <w:tcPr>
            <w:tcW w:w="817" w:type="dxa"/>
            <w:vMerge w:val="restart"/>
            <w:tcBorders>
              <w:top w:val="single" w:color="000000" w:sz="2" w:space="0"/>
              <w:left w:val="single" w:color="000000" w:sz="2" w:space="0"/>
              <w:bottom w:val="single" w:color="000000" w:sz="2" w:space="0"/>
              <w:right w:val="single" w:color="000000" w:sz="2" w:space="0"/>
            </w:tcBorders>
            <w:vAlign w:val="center"/>
          </w:tcPr>
          <w:p w14:paraId="253695A2">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color w:val="000000"/>
                <w:spacing w:val="-6"/>
                <w:sz w:val="21"/>
                <w:szCs w:val="21"/>
              </w:rPr>
              <w:t>密度</w:t>
            </w:r>
          </w:p>
          <w:p w14:paraId="0F3B115C">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color w:val="000000"/>
                <w:spacing w:val="-4"/>
                <w:sz w:val="21"/>
                <w:szCs w:val="21"/>
              </w:rPr>
              <w:t>（</w:t>
            </w:r>
            <w:r>
              <w:rPr>
                <w:rFonts w:hint="default" w:ascii="Times New Roman" w:hAnsi="Times New Roman" w:eastAsia="Times New Roman" w:cs="Times New Roman"/>
                <w:b/>
                <w:color w:val="000000"/>
                <w:spacing w:val="-2"/>
                <w:sz w:val="21"/>
                <w:szCs w:val="21"/>
              </w:rPr>
              <w:t>g/cm</w:t>
            </w:r>
            <w:r>
              <w:rPr>
                <w:rFonts w:hint="default" w:ascii="Times New Roman" w:hAnsi="Times New Roman" w:eastAsia="Times New Roman" w:cs="Times New Roman"/>
                <w:b/>
                <w:color w:val="000000"/>
                <w:spacing w:val="-3"/>
                <w:sz w:val="21"/>
                <w:szCs w:val="21"/>
                <w:vertAlign w:val="superscript"/>
              </w:rPr>
              <w:t>3</w:t>
            </w:r>
          </w:p>
          <w:p w14:paraId="3E194B8B">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color w:val="000000"/>
                <w:spacing w:val="-13"/>
                <w:sz w:val="21"/>
                <w:szCs w:val="21"/>
              </w:rPr>
              <w:t>）</w:t>
            </w:r>
          </w:p>
        </w:tc>
        <w:tc>
          <w:tcPr>
            <w:tcW w:w="2260" w:type="dxa"/>
            <w:gridSpan w:val="3"/>
            <w:tcBorders>
              <w:top w:val="single" w:color="000000" w:sz="2" w:space="0"/>
              <w:left w:val="single" w:color="000000" w:sz="2" w:space="0"/>
              <w:bottom w:val="single" w:color="000000" w:sz="2" w:space="0"/>
              <w:right w:val="single" w:color="000000" w:sz="2" w:space="0"/>
            </w:tcBorders>
            <w:vAlign w:val="center"/>
          </w:tcPr>
          <w:p w14:paraId="7D01E3A9">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color w:val="000000"/>
                <w:spacing w:val="-2"/>
                <w:sz w:val="21"/>
                <w:szCs w:val="21"/>
              </w:rPr>
              <w:t>质量粒径分布（</w:t>
            </w:r>
            <w:r>
              <w:rPr>
                <w:rFonts w:hint="default" w:ascii="Times New Roman" w:hAnsi="Times New Roman" w:eastAsia="Times New Roman" w:cs="Times New Roman"/>
                <w:b/>
                <w:color w:val="000000"/>
                <w:spacing w:val="-1"/>
                <w:sz w:val="21"/>
                <w:szCs w:val="21"/>
              </w:rPr>
              <w:t>%</w:t>
            </w:r>
            <w:r>
              <w:rPr>
                <w:rFonts w:hint="default" w:ascii="Times New Roman" w:hAnsi="Times New Roman" w:eastAsia="宋体" w:cs="Times New Roman"/>
                <w:b/>
                <w:color w:val="000000"/>
                <w:spacing w:val="-1"/>
                <w:sz w:val="21"/>
                <w:szCs w:val="21"/>
              </w:rPr>
              <w:t>）</w:t>
            </w:r>
          </w:p>
        </w:tc>
        <w:tc>
          <w:tcPr>
            <w:tcW w:w="2358" w:type="dxa"/>
            <w:gridSpan w:val="4"/>
            <w:tcBorders>
              <w:top w:val="single" w:color="000000" w:sz="2" w:space="0"/>
              <w:left w:val="single" w:color="000000" w:sz="2" w:space="0"/>
              <w:bottom w:val="single" w:color="000000" w:sz="2" w:space="0"/>
              <w:right w:val="single" w:color="000000" w:sz="2" w:space="0"/>
            </w:tcBorders>
            <w:vAlign w:val="center"/>
          </w:tcPr>
          <w:p w14:paraId="3485B272">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color w:val="000000"/>
                <w:spacing w:val="-2"/>
                <w:sz w:val="21"/>
                <w:szCs w:val="21"/>
              </w:rPr>
              <w:t>化学成分（</w:t>
            </w:r>
            <w:r>
              <w:rPr>
                <w:rFonts w:hint="default" w:ascii="Times New Roman" w:hAnsi="Times New Roman" w:eastAsia="Times New Roman" w:cs="Times New Roman"/>
                <w:b/>
                <w:color w:val="000000"/>
                <w:spacing w:val="-2"/>
                <w:sz w:val="21"/>
                <w:szCs w:val="21"/>
              </w:rPr>
              <w:t>%</w:t>
            </w:r>
            <w:r>
              <w:rPr>
                <w:rFonts w:hint="default" w:ascii="Times New Roman" w:hAnsi="Times New Roman" w:eastAsia="宋体" w:cs="Times New Roman"/>
                <w:b/>
                <w:color w:val="000000"/>
                <w:spacing w:val="-2"/>
                <w:sz w:val="21"/>
                <w:szCs w:val="21"/>
              </w:rPr>
              <w:t>）</w:t>
            </w:r>
          </w:p>
        </w:tc>
        <w:tc>
          <w:tcPr>
            <w:tcW w:w="727" w:type="dxa"/>
            <w:vMerge w:val="restart"/>
            <w:tcBorders>
              <w:top w:val="single" w:color="000000" w:sz="2" w:space="0"/>
              <w:left w:val="single" w:color="000000" w:sz="2" w:space="0"/>
              <w:bottom w:val="single" w:color="000000" w:sz="2" w:space="0"/>
              <w:right w:val="single" w:color="000000" w:sz="2" w:space="0"/>
            </w:tcBorders>
            <w:vAlign w:val="center"/>
          </w:tcPr>
          <w:p w14:paraId="4F8C4424">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color w:val="000000"/>
                <w:spacing w:val="-6"/>
                <w:sz w:val="21"/>
                <w:szCs w:val="21"/>
              </w:rPr>
              <w:t>游离</w:t>
            </w:r>
          </w:p>
          <w:p w14:paraId="07E2BABC">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b/>
                <w:sz w:val="21"/>
                <w:szCs w:val="21"/>
              </w:rPr>
            </w:pPr>
            <w:r>
              <w:rPr>
                <w:rFonts w:hint="default" w:ascii="Times New Roman" w:hAnsi="Times New Roman" w:eastAsia="Times New Roman" w:cs="Times New Roman"/>
                <w:b/>
                <w:color w:val="000000"/>
                <w:spacing w:val="-10"/>
                <w:sz w:val="21"/>
                <w:szCs w:val="21"/>
              </w:rPr>
              <w:t>SiO</w:t>
            </w:r>
            <w:r>
              <w:rPr>
                <w:rFonts w:hint="default" w:ascii="Times New Roman" w:hAnsi="Times New Roman" w:eastAsia="Times New Roman" w:cs="Times New Roman"/>
                <w:b/>
                <w:color w:val="000000"/>
                <w:spacing w:val="-8"/>
                <w:sz w:val="21"/>
                <w:szCs w:val="21"/>
                <w:vertAlign w:val="subscript"/>
              </w:rPr>
              <w:t>2</w:t>
            </w:r>
          </w:p>
          <w:p w14:paraId="6D4270F6">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b/>
                <w:color w:val="000000"/>
                <w:spacing w:val="-9"/>
                <w:sz w:val="21"/>
                <w:szCs w:val="21"/>
              </w:rPr>
              <w:t>（</w:t>
            </w:r>
            <w:r>
              <w:rPr>
                <w:rFonts w:hint="default" w:ascii="Times New Roman" w:hAnsi="Times New Roman" w:eastAsia="Times New Roman" w:cs="Times New Roman"/>
                <w:b/>
                <w:color w:val="000000"/>
                <w:spacing w:val="-9"/>
                <w:sz w:val="21"/>
                <w:szCs w:val="21"/>
              </w:rPr>
              <w:t>%</w:t>
            </w:r>
            <w:r>
              <w:rPr>
                <w:rFonts w:hint="default" w:ascii="Times New Roman" w:hAnsi="Times New Roman" w:eastAsia="宋体" w:cs="Times New Roman"/>
                <w:b/>
                <w:color w:val="000000"/>
                <w:spacing w:val="-10"/>
                <w:sz w:val="21"/>
                <w:szCs w:val="21"/>
              </w:rPr>
              <w:t>）</w:t>
            </w:r>
          </w:p>
        </w:tc>
      </w:tr>
      <w:tr w14:paraId="780ACB39">
        <w:tblPrEx>
          <w:tblCellMar>
            <w:top w:w="0" w:type="dxa"/>
            <w:left w:w="0" w:type="dxa"/>
            <w:bottom w:w="0" w:type="dxa"/>
            <w:right w:w="0" w:type="dxa"/>
          </w:tblCellMar>
        </w:tblPrEx>
        <w:trPr>
          <w:trHeight w:val="379" w:hRule="exact"/>
          <w:jc w:val="center"/>
        </w:trPr>
        <w:tc>
          <w:tcPr>
            <w:tcW w:w="622" w:type="dxa"/>
            <w:vMerge w:val="continue"/>
            <w:tcBorders>
              <w:top w:val="single" w:color="000000" w:sz="2" w:space="0"/>
              <w:left w:val="single" w:color="000000" w:sz="2" w:space="0"/>
              <w:bottom w:val="single" w:color="000000" w:sz="2" w:space="0"/>
              <w:right w:val="single" w:color="000000" w:sz="2" w:space="0"/>
            </w:tcBorders>
            <w:vAlign w:val="center"/>
          </w:tcPr>
          <w:p w14:paraId="0DA682E4">
            <w:pPr>
              <w:keepNext w:val="0"/>
              <w:keepLines w:val="0"/>
              <w:pageBreakBefore w:val="0"/>
              <w:widowControl w:val="0"/>
              <w:kinsoku/>
              <w:wordWrap/>
              <w:overflowPunct/>
              <w:topLinePunct w:val="0"/>
              <w:bidi w:val="0"/>
              <w:adjustRightInd/>
              <w:snapToGrid/>
              <w:spacing w:line="0" w:lineRule="atLeast"/>
              <w:ind w:left="0" w:right="0" w:firstLine="0" w:firstLineChars="0"/>
              <w:jc w:val="center"/>
              <w:textAlignment w:val="auto"/>
              <w:rPr>
                <w:rFonts w:hint="default" w:ascii="Times New Roman" w:hAnsi="Times New Roman" w:cs="Times New Roman"/>
                <w:sz w:val="21"/>
                <w:szCs w:val="21"/>
              </w:rPr>
            </w:pPr>
          </w:p>
        </w:tc>
        <w:tc>
          <w:tcPr>
            <w:tcW w:w="1528" w:type="dxa"/>
            <w:vMerge w:val="continue"/>
            <w:tcBorders>
              <w:top w:val="single" w:color="000000" w:sz="2" w:space="0"/>
              <w:left w:val="single" w:color="000000" w:sz="2" w:space="0"/>
              <w:bottom w:val="single" w:color="000000" w:sz="2" w:space="0"/>
              <w:right w:val="single" w:color="000000" w:sz="2" w:space="0"/>
            </w:tcBorders>
            <w:vAlign w:val="center"/>
          </w:tcPr>
          <w:p w14:paraId="49FD1904">
            <w:pPr>
              <w:keepNext w:val="0"/>
              <w:keepLines w:val="0"/>
              <w:pageBreakBefore w:val="0"/>
              <w:widowControl w:val="0"/>
              <w:kinsoku/>
              <w:wordWrap/>
              <w:overflowPunct/>
              <w:topLinePunct w:val="0"/>
              <w:bidi w:val="0"/>
              <w:adjustRightInd/>
              <w:snapToGrid/>
              <w:spacing w:line="0" w:lineRule="atLeast"/>
              <w:ind w:left="0" w:right="0" w:firstLine="0" w:firstLineChars="0"/>
              <w:jc w:val="center"/>
              <w:textAlignment w:val="auto"/>
              <w:rPr>
                <w:rFonts w:hint="default" w:ascii="Times New Roman" w:hAnsi="Times New Roman" w:cs="Times New Roman"/>
                <w:sz w:val="21"/>
                <w:szCs w:val="21"/>
              </w:rPr>
            </w:pPr>
          </w:p>
        </w:tc>
        <w:tc>
          <w:tcPr>
            <w:tcW w:w="817" w:type="dxa"/>
            <w:vMerge w:val="continue"/>
            <w:tcBorders>
              <w:top w:val="single" w:color="000000" w:sz="2" w:space="0"/>
              <w:left w:val="single" w:color="000000" w:sz="2" w:space="0"/>
              <w:bottom w:val="single" w:color="000000" w:sz="2" w:space="0"/>
              <w:right w:val="single" w:color="000000" w:sz="2" w:space="0"/>
            </w:tcBorders>
            <w:vAlign w:val="center"/>
          </w:tcPr>
          <w:p w14:paraId="58070C22">
            <w:pPr>
              <w:keepNext w:val="0"/>
              <w:keepLines w:val="0"/>
              <w:pageBreakBefore w:val="0"/>
              <w:widowControl w:val="0"/>
              <w:kinsoku/>
              <w:wordWrap/>
              <w:overflowPunct/>
              <w:topLinePunct w:val="0"/>
              <w:bidi w:val="0"/>
              <w:adjustRightInd/>
              <w:snapToGrid/>
              <w:spacing w:line="0" w:lineRule="atLeast"/>
              <w:ind w:left="0" w:right="0" w:firstLine="0" w:firstLineChars="0"/>
              <w:jc w:val="center"/>
              <w:textAlignment w:val="auto"/>
              <w:rPr>
                <w:rFonts w:hint="default" w:ascii="Times New Roman" w:hAnsi="Times New Roman" w:cs="Times New Roman"/>
                <w:sz w:val="21"/>
                <w:szCs w:val="21"/>
              </w:rPr>
            </w:pPr>
          </w:p>
        </w:tc>
        <w:tc>
          <w:tcPr>
            <w:tcW w:w="721" w:type="dxa"/>
            <w:tcBorders>
              <w:top w:val="single" w:color="000000" w:sz="2" w:space="0"/>
              <w:left w:val="single" w:color="000000" w:sz="2" w:space="0"/>
              <w:bottom w:val="single" w:color="000000" w:sz="2" w:space="0"/>
              <w:right w:val="single" w:color="000000" w:sz="2" w:space="0"/>
            </w:tcBorders>
            <w:vAlign w:val="center"/>
          </w:tcPr>
          <w:p w14:paraId="3A0F4D0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b/>
                <w:color w:val="000000"/>
                <w:spacing w:val="-3"/>
                <w:sz w:val="21"/>
                <w:szCs w:val="21"/>
              </w:rPr>
              <w:t>&gt;10</w:t>
            </w:r>
            <w:r>
              <w:rPr>
                <w:rFonts w:hint="default" w:ascii="Times New Roman" w:hAnsi="Times New Roman" w:eastAsia="Times New Roman" w:cs="Times New Roman"/>
                <w:b/>
                <w:color w:val="000000"/>
                <w:spacing w:val="-1"/>
                <w:sz w:val="21"/>
                <w:szCs w:val="21"/>
              </w:rPr>
              <w:t>µm</w:t>
            </w:r>
          </w:p>
        </w:tc>
        <w:tc>
          <w:tcPr>
            <w:tcW w:w="817" w:type="dxa"/>
            <w:tcBorders>
              <w:top w:val="single" w:color="000000" w:sz="2" w:space="0"/>
              <w:left w:val="single" w:color="000000" w:sz="2" w:space="0"/>
              <w:bottom w:val="single" w:color="000000" w:sz="2" w:space="0"/>
              <w:right w:val="single" w:color="000000" w:sz="2" w:space="0"/>
            </w:tcBorders>
            <w:vAlign w:val="center"/>
          </w:tcPr>
          <w:p w14:paraId="3E9A54E8">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b/>
                <w:color w:val="000000"/>
                <w:spacing w:val="-2"/>
                <w:sz w:val="21"/>
                <w:szCs w:val="21"/>
              </w:rPr>
              <w:t>5~1</w:t>
            </w:r>
            <w:r>
              <w:rPr>
                <w:rFonts w:hint="default" w:ascii="Times New Roman" w:hAnsi="Times New Roman" w:eastAsia="Times New Roman" w:cs="Times New Roman"/>
                <w:b/>
                <w:color w:val="000000"/>
                <w:spacing w:val="-1"/>
                <w:sz w:val="21"/>
                <w:szCs w:val="21"/>
              </w:rPr>
              <w:t>0µm</w:t>
            </w:r>
          </w:p>
        </w:tc>
        <w:tc>
          <w:tcPr>
            <w:tcW w:w="722" w:type="dxa"/>
            <w:tcBorders>
              <w:top w:val="single" w:color="000000" w:sz="2" w:space="0"/>
              <w:left w:val="single" w:color="000000" w:sz="2" w:space="0"/>
              <w:bottom w:val="single" w:color="000000" w:sz="2" w:space="0"/>
              <w:right w:val="single" w:color="000000" w:sz="2" w:space="0"/>
            </w:tcBorders>
            <w:vAlign w:val="center"/>
          </w:tcPr>
          <w:p w14:paraId="1DC57CEA">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b/>
                <w:color w:val="000000"/>
                <w:spacing w:val="-2"/>
                <w:sz w:val="21"/>
                <w:szCs w:val="21"/>
              </w:rPr>
              <w:t>&lt;</w:t>
            </w:r>
            <w:r>
              <w:rPr>
                <w:rFonts w:hint="default" w:ascii="Times New Roman" w:hAnsi="Times New Roman" w:eastAsia="Times New Roman" w:cs="Times New Roman"/>
                <w:b/>
                <w:color w:val="000000"/>
                <w:spacing w:val="-1"/>
                <w:sz w:val="21"/>
                <w:szCs w:val="21"/>
              </w:rPr>
              <w:t>5</w:t>
            </w:r>
            <w:r>
              <w:rPr>
                <w:rFonts w:hint="default" w:ascii="Times New Roman" w:hAnsi="Times New Roman" w:eastAsia="Times New Roman" w:cs="Times New Roman"/>
                <w:b/>
                <w:color w:val="000000"/>
                <w:spacing w:val="-3"/>
                <w:sz w:val="21"/>
                <w:szCs w:val="21"/>
              </w:rPr>
              <w:t>µm</w:t>
            </w:r>
          </w:p>
        </w:tc>
        <w:tc>
          <w:tcPr>
            <w:tcW w:w="516" w:type="dxa"/>
            <w:tcBorders>
              <w:top w:val="single" w:color="000000" w:sz="2" w:space="0"/>
              <w:left w:val="single" w:color="000000" w:sz="2" w:space="0"/>
              <w:bottom w:val="single" w:color="000000" w:sz="2" w:space="0"/>
              <w:right w:val="single" w:color="000000" w:sz="2" w:space="0"/>
            </w:tcBorders>
            <w:vAlign w:val="center"/>
          </w:tcPr>
          <w:p w14:paraId="0FB835E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b/>
                <w:color w:val="000000"/>
                <w:spacing w:val="-4"/>
                <w:sz w:val="21"/>
                <w:szCs w:val="21"/>
              </w:rPr>
              <w:t>TFe</w:t>
            </w:r>
          </w:p>
        </w:tc>
        <w:tc>
          <w:tcPr>
            <w:tcW w:w="618" w:type="dxa"/>
            <w:tcBorders>
              <w:top w:val="single" w:color="000000" w:sz="2" w:space="0"/>
              <w:left w:val="single" w:color="000000" w:sz="2" w:space="0"/>
              <w:bottom w:val="single" w:color="000000" w:sz="2" w:space="0"/>
              <w:right w:val="single" w:color="000000" w:sz="2" w:space="0"/>
            </w:tcBorders>
            <w:vAlign w:val="center"/>
          </w:tcPr>
          <w:p w14:paraId="3930E53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b/>
                <w:color w:val="000000"/>
                <w:spacing w:val="-3"/>
                <w:sz w:val="21"/>
                <w:szCs w:val="21"/>
              </w:rPr>
              <w:t>SiO</w:t>
            </w:r>
            <w:r>
              <w:rPr>
                <w:rFonts w:hint="default" w:ascii="Times New Roman" w:hAnsi="Times New Roman" w:eastAsia="Times New Roman" w:cs="Times New Roman"/>
                <w:b/>
                <w:color w:val="000000"/>
                <w:spacing w:val="-3"/>
                <w:sz w:val="21"/>
                <w:szCs w:val="21"/>
                <w:vertAlign w:val="subscript"/>
              </w:rPr>
              <w:t>2</w:t>
            </w:r>
          </w:p>
        </w:tc>
        <w:tc>
          <w:tcPr>
            <w:tcW w:w="609" w:type="dxa"/>
            <w:tcBorders>
              <w:top w:val="single" w:color="000000" w:sz="2" w:space="0"/>
              <w:left w:val="single" w:color="000000" w:sz="2" w:space="0"/>
              <w:bottom w:val="single" w:color="000000" w:sz="2" w:space="0"/>
              <w:right w:val="single" w:color="000000" w:sz="2" w:space="0"/>
            </w:tcBorders>
            <w:vAlign w:val="center"/>
          </w:tcPr>
          <w:p w14:paraId="64C1D103">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b/>
                <w:color w:val="000000"/>
                <w:spacing w:val="-5"/>
                <w:sz w:val="21"/>
                <w:szCs w:val="21"/>
              </w:rPr>
              <w:t>CaO</w:t>
            </w:r>
          </w:p>
        </w:tc>
        <w:tc>
          <w:tcPr>
            <w:tcW w:w="615" w:type="dxa"/>
            <w:tcBorders>
              <w:top w:val="single" w:color="000000" w:sz="2" w:space="0"/>
              <w:left w:val="single" w:color="000000" w:sz="2" w:space="0"/>
              <w:bottom w:val="single" w:color="000000" w:sz="2" w:space="0"/>
              <w:right w:val="single" w:color="000000" w:sz="2" w:space="0"/>
            </w:tcBorders>
            <w:vAlign w:val="center"/>
          </w:tcPr>
          <w:p w14:paraId="7D5ECDD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b/>
                <w:color w:val="000000"/>
                <w:spacing w:val="-4"/>
                <w:sz w:val="21"/>
                <w:szCs w:val="21"/>
              </w:rPr>
              <w:t>MgO</w:t>
            </w:r>
          </w:p>
        </w:tc>
        <w:tc>
          <w:tcPr>
            <w:tcW w:w="727" w:type="dxa"/>
            <w:vMerge w:val="continue"/>
            <w:tcBorders>
              <w:top w:val="single" w:color="000000" w:sz="2" w:space="0"/>
              <w:left w:val="single" w:color="000000" w:sz="2" w:space="0"/>
              <w:bottom w:val="single" w:color="000000" w:sz="2" w:space="0"/>
              <w:right w:val="single" w:color="000000" w:sz="2" w:space="0"/>
            </w:tcBorders>
            <w:vAlign w:val="center"/>
          </w:tcPr>
          <w:p w14:paraId="7FB22A50">
            <w:pPr>
              <w:keepNext w:val="0"/>
              <w:keepLines w:val="0"/>
              <w:pageBreakBefore w:val="0"/>
              <w:widowControl w:val="0"/>
              <w:kinsoku/>
              <w:wordWrap/>
              <w:overflowPunct/>
              <w:topLinePunct w:val="0"/>
              <w:bidi w:val="0"/>
              <w:adjustRightInd/>
              <w:snapToGrid/>
              <w:spacing w:line="0" w:lineRule="atLeast"/>
              <w:ind w:left="0" w:right="0" w:firstLine="0" w:firstLineChars="0"/>
              <w:jc w:val="center"/>
              <w:textAlignment w:val="auto"/>
              <w:rPr>
                <w:rFonts w:hint="default" w:ascii="Times New Roman" w:hAnsi="Times New Roman" w:cs="Times New Roman"/>
                <w:sz w:val="21"/>
                <w:szCs w:val="21"/>
              </w:rPr>
            </w:pPr>
          </w:p>
        </w:tc>
      </w:tr>
      <w:tr w14:paraId="604933F1">
        <w:tblPrEx>
          <w:tblCellMar>
            <w:top w:w="0" w:type="dxa"/>
            <w:left w:w="0" w:type="dxa"/>
            <w:bottom w:w="0" w:type="dxa"/>
            <w:right w:w="0" w:type="dxa"/>
          </w:tblCellMar>
        </w:tblPrEx>
        <w:trPr>
          <w:trHeight w:val="379" w:hRule="exact"/>
          <w:jc w:val="center"/>
        </w:trPr>
        <w:tc>
          <w:tcPr>
            <w:tcW w:w="622" w:type="dxa"/>
            <w:vMerge w:val="restart"/>
            <w:tcBorders>
              <w:top w:val="single" w:color="000000" w:sz="2" w:space="0"/>
              <w:left w:val="single" w:color="000000" w:sz="2" w:space="0"/>
              <w:bottom w:val="single" w:color="000000" w:sz="2" w:space="0"/>
              <w:right w:val="single" w:color="000000" w:sz="2" w:space="0"/>
            </w:tcBorders>
            <w:vAlign w:val="center"/>
          </w:tcPr>
          <w:p w14:paraId="633D3BC1">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pacing w:val="-6"/>
                <w:sz w:val="21"/>
                <w:szCs w:val="21"/>
              </w:rPr>
              <w:t>烧结</w:t>
            </w:r>
          </w:p>
        </w:tc>
        <w:tc>
          <w:tcPr>
            <w:tcW w:w="1528" w:type="dxa"/>
            <w:tcBorders>
              <w:top w:val="single" w:color="000000" w:sz="2" w:space="0"/>
              <w:left w:val="single" w:color="000000" w:sz="2" w:space="0"/>
              <w:bottom w:val="single" w:color="000000" w:sz="2" w:space="0"/>
              <w:right w:val="single" w:color="000000" w:sz="2" w:space="0"/>
            </w:tcBorders>
            <w:vAlign w:val="center"/>
          </w:tcPr>
          <w:p w14:paraId="1E59AD34">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pacing w:val="-3"/>
                <w:sz w:val="21"/>
                <w:szCs w:val="21"/>
              </w:rPr>
              <w:t>机头（</w:t>
            </w:r>
            <w:r>
              <w:rPr>
                <w:rFonts w:hint="default" w:ascii="Times New Roman" w:hAnsi="Times New Roman" w:eastAsia="宋体" w:cs="Times New Roman"/>
                <w:color w:val="000000"/>
                <w:spacing w:val="-1"/>
                <w:sz w:val="21"/>
                <w:szCs w:val="21"/>
              </w:rPr>
              <w:t>冷矿）</w:t>
            </w:r>
          </w:p>
        </w:tc>
        <w:tc>
          <w:tcPr>
            <w:tcW w:w="817" w:type="dxa"/>
            <w:tcBorders>
              <w:top w:val="single" w:color="000000" w:sz="2" w:space="0"/>
              <w:left w:val="single" w:color="000000" w:sz="2" w:space="0"/>
              <w:bottom w:val="single" w:color="000000" w:sz="2" w:space="0"/>
              <w:right w:val="single" w:color="000000" w:sz="2" w:space="0"/>
            </w:tcBorders>
            <w:vAlign w:val="center"/>
          </w:tcPr>
          <w:p w14:paraId="55760D36">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3.</w:t>
            </w:r>
            <w:r>
              <w:rPr>
                <w:rFonts w:hint="default" w:ascii="Times New Roman" w:hAnsi="Times New Roman" w:eastAsia="Times New Roman" w:cs="Times New Roman"/>
                <w:color w:val="000000"/>
                <w:spacing w:val="-2"/>
                <w:sz w:val="21"/>
                <w:szCs w:val="21"/>
              </w:rPr>
              <w:t>47</w:t>
            </w:r>
          </w:p>
        </w:tc>
        <w:tc>
          <w:tcPr>
            <w:tcW w:w="721" w:type="dxa"/>
            <w:tcBorders>
              <w:top w:val="single" w:color="000000" w:sz="2" w:space="0"/>
              <w:left w:val="single" w:color="000000" w:sz="2" w:space="0"/>
              <w:bottom w:val="single" w:color="000000" w:sz="2" w:space="0"/>
              <w:right w:val="single" w:color="000000" w:sz="2" w:space="0"/>
            </w:tcBorders>
            <w:vAlign w:val="center"/>
          </w:tcPr>
          <w:p w14:paraId="6271FD87">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85</w:t>
            </w:r>
            <w:r>
              <w:rPr>
                <w:rFonts w:hint="default" w:ascii="Times New Roman" w:hAnsi="Times New Roman" w:eastAsia="Times New Roman" w:cs="Times New Roman"/>
                <w:color w:val="000000"/>
                <w:spacing w:val="-2"/>
                <w:sz w:val="21"/>
                <w:szCs w:val="21"/>
              </w:rPr>
              <w:t>.6</w:t>
            </w:r>
          </w:p>
        </w:tc>
        <w:tc>
          <w:tcPr>
            <w:tcW w:w="817" w:type="dxa"/>
            <w:tcBorders>
              <w:top w:val="single" w:color="000000" w:sz="2" w:space="0"/>
              <w:left w:val="single" w:color="000000" w:sz="2" w:space="0"/>
              <w:bottom w:val="single" w:color="000000" w:sz="2" w:space="0"/>
              <w:right w:val="single" w:color="000000" w:sz="2" w:space="0"/>
            </w:tcBorders>
            <w:vAlign w:val="center"/>
          </w:tcPr>
          <w:p w14:paraId="51CFF517">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6.0</w:t>
            </w:r>
          </w:p>
        </w:tc>
        <w:tc>
          <w:tcPr>
            <w:tcW w:w="722" w:type="dxa"/>
            <w:tcBorders>
              <w:top w:val="single" w:color="000000" w:sz="2" w:space="0"/>
              <w:left w:val="single" w:color="000000" w:sz="2" w:space="0"/>
              <w:bottom w:val="single" w:color="000000" w:sz="2" w:space="0"/>
              <w:right w:val="single" w:color="000000" w:sz="2" w:space="0"/>
            </w:tcBorders>
            <w:vAlign w:val="center"/>
          </w:tcPr>
          <w:p w14:paraId="621186D7">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8.4</w:t>
            </w:r>
          </w:p>
        </w:tc>
        <w:tc>
          <w:tcPr>
            <w:tcW w:w="516" w:type="dxa"/>
            <w:tcBorders>
              <w:top w:val="single" w:color="000000" w:sz="2" w:space="0"/>
              <w:left w:val="single" w:color="000000" w:sz="2" w:space="0"/>
              <w:bottom w:val="single" w:color="000000" w:sz="2" w:space="0"/>
              <w:right w:val="single" w:color="000000" w:sz="2" w:space="0"/>
            </w:tcBorders>
            <w:vAlign w:val="center"/>
          </w:tcPr>
          <w:p w14:paraId="4F85BE0B">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56</w:t>
            </w:r>
            <w:r>
              <w:rPr>
                <w:rFonts w:hint="default" w:ascii="Times New Roman" w:hAnsi="Times New Roman" w:eastAsia="Times New Roman" w:cs="Times New Roman"/>
                <w:color w:val="000000"/>
                <w:spacing w:val="-2"/>
                <w:sz w:val="21"/>
                <w:szCs w:val="21"/>
              </w:rPr>
              <w:t>.3</w:t>
            </w:r>
          </w:p>
        </w:tc>
        <w:tc>
          <w:tcPr>
            <w:tcW w:w="618" w:type="dxa"/>
            <w:tcBorders>
              <w:top w:val="single" w:color="000000" w:sz="2" w:space="0"/>
              <w:left w:val="single" w:color="000000" w:sz="2" w:space="0"/>
              <w:bottom w:val="single" w:color="000000" w:sz="2" w:space="0"/>
              <w:right w:val="single" w:color="000000" w:sz="2" w:space="0"/>
            </w:tcBorders>
            <w:vAlign w:val="center"/>
          </w:tcPr>
          <w:p w14:paraId="294006AC">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7.0</w:t>
            </w:r>
          </w:p>
        </w:tc>
        <w:tc>
          <w:tcPr>
            <w:tcW w:w="609" w:type="dxa"/>
            <w:tcBorders>
              <w:top w:val="single" w:color="000000" w:sz="2" w:space="0"/>
              <w:left w:val="single" w:color="000000" w:sz="2" w:space="0"/>
              <w:bottom w:val="single" w:color="000000" w:sz="2" w:space="0"/>
              <w:right w:val="single" w:color="000000" w:sz="2" w:space="0"/>
            </w:tcBorders>
            <w:vAlign w:val="center"/>
          </w:tcPr>
          <w:p w14:paraId="2AA68295">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3"/>
                <w:sz w:val="21"/>
                <w:szCs w:val="21"/>
              </w:rPr>
              <w:t>10.9</w:t>
            </w:r>
          </w:p>
        </w:tc>
        <w:tc>
          <w:tcPr>
            <w:tcW w:w="615" w:type="dxa"/>
            <w:tcBorders>
              <w:top w:val="single" w:color="000000" w:sz="2" w:space="0"/>
              <w:left w:val="single" w:color="000000" w:sz="2" w:space="0"/>
              <w:bottom w:val="single" w:color="000000" w:sz="2" w:space="0"/>
              <w:right w:val="single" w:color="000000" w:sz="2" w:space="0"/>
            </w:tcBorders>
            <w:vAlign w:val="center"/>
          </w:tcPr>
          <w:p w14:paraId="14A0509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3.5</w:t>
            </w:r>
          </w:p>
        </w:tc>
        <w:tc>
          <w:tcPr>
            <w:tcW w:w="727" w:type="dxa"/>
            <w:tcBorders>
              <w:top w:val="single" w:color="000000" w:sz="2" w:space="0"/>
              <w:left w:val="single" w:color="000000" w:sz="2" w:space="0"/>
              <w:bottom w:val="single" w:color="000000" w:sz="2" w:space="0"/>
              <w:right w:val="single" w:color="000000" w:sz="2" w:space="0"/>
            </w:tcBorders>
            <w:vAlign w:val="center"/>
          </w:tcPr>
          <w:p w14:paraId="1539E966">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12"/>
                <w:sz w:val="21"/>
                <w:szCs w:val="21"/>
              </w:rPr>
              <w:t>-</w:t>
            </w:r>
          </w:p>
        </w:tc>
      </w:tr>
      <w:tr w14:paraId="07458C05">
        <w:tblPrEx>
          <w:tblCellMar>
            <w:top w:w="0" w:type="dxa"/>
            <w:left w:w="0" w:type="dxa"/>
            <w:bottom w:w="0" w:type="dxa"/>
            <w:right w:w="0" w:type="dxa"/>
          </w:tblCellMar>
        </w:tblPrEx>
        <w:trPr>
          <w:trHeight w:val="379" w:hRule="exact"/>
          <w:jc w:val="center"/>
        </w:trPr>
        <w:tc>
          <w:tcPr>
            <w:tcW w:w="622" w:type="dxa"/>
            <w:vMerge w:val="continue"/>
            <w:tcBorders>
              <w:top w:val="single" w:color="000000" w:sz="2" w:space="0"/>
              <w:left w:val="single" w:color="000000" w:sz="2" w:space="0"/>
              <w:bottom w:val="single" w:color="000000" w:sz="2" w:space="0"/>
              <w:right w:val="single" w:color="000000" w:sz="2" w:space="0"/>
            </w:tcBorders>
            <w:vAlign w:val="center"/>
          </w:tcPr>
          <w:p w14:paraId="62D0EA73">
            <w:pPr>
              <w:keepNext w:val="0"/>
              <w:keepLines w:val="0"/>
              <w:pageBreakBefore w:val="0"/>
              <w:widowControl w:val="0"/>
              <w:kinsoku/>
              <w:wordWrap/>
              <w:overflowPunct/>
              <w:topLinePunct w:val="0"/>
              <w:bidi w:val="0"/>
              <w:adjustRightInd/>
              <w:snapToGrid/>
              <w:spacing w:line="0" w:lineRule="atLeast"/>
              <w:ind w:left="0" w:right="0" w:firstLine="0" w:firstLineChars="0"/>
              <w:jc w:val="center"/>
              <w:textAlignment w:val="auto"/>
              <w:rPr>
                <w:rFonts w:hint="default" w:ascii="Times New Roman" w:hAnsi="Times New Roman" w:cs="Times New Roman"/>
                <w:sz w:val="21"/>
                <w:szCs w:val="21"/>
              </w:rPr>
            </w:pPr>
          </w:p>
        </w:tc>
        <w:tc>
          <w:tcPr>
            <w:tcW w:w="1528" w:type="dxa"/>
            <w:tcBorders>
              <w:top w:val="single" w:color="000000" w:sz="2" w:space="0"/>
              <w:left w:val="single" w:color="000000" w:sz="2" w:space="0"/>
              <w:bottom w:val="single" w:color="000000" w:sz="2" w:space="0"/>
              <w:right w:val="single" w:color="000000" w:sz="2" w:space="0"/>
            </w:tcBorders>
            <w:vAlign w:val="center"/>
          </w:tcPr>
          <w:p w14:paraId="57D07119">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pacing w:val="-3"/>
                <w:sz w:val="21"/>
                <w:szCs w:val="21"/>
              </w:rPr>
              <w:t>整粒</w:t>
            </w:r>
            <w:r>
              <w:rPr>
                <w:rFonts w:hint="default" w:ascii="Times New Roman" w:hAnsi="Times New Roman" w:eastAsia="宋体" w:cs="Times New Roman"/>
                <w:color w:val="000000"/>
                <w:spacing w:val="-2"/>
                <w:sz w:val="21"/>
                <w:szCs w:val="21"/>
              </w:rPr>
              <w:t>（环境除尘）</w:t>
            </w:r>
          </w:p>
        </w:tc>
        <w:tc>
          <w:tcPr>
            <w:tcW w:w="817" w:type="dxa"/>
            <w:tcBorders>
              <w:top w:val="single" w:color="000000" w:sz="2" w:space="0"/>
              <w:left w:val="single" w:color="000000" w:sz="2" w:space="0"/>
              <w:bottom w:val="single" w:color="000000" w:sz="2" w:space="0"/>
              <w:right w:val="single" w:color="000000" w:sz="2" w:space="0"/>
            </w:tcBorders>
            <w:vAlign w:val="center"/>
          </w:tcPr>
          <w:p w14:paraId="6136BE2D">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4.</w:t>
            </w:r>
            <w:r>
              <w:rPr>
                <w:rFonts w:hint="default" w:ascii="Times New Roman" w:hAnsi="Times New Roman" w:eastAsia="Times New Roman" w:cs="Times New Roman"/>
                <w:color w:val="000000"/>
                <w:spacing w:val="-2"/>
                <w:sz w:val="21"/>
                <w:szCs w:val="21"/>
              </w:rPr>
              <w:t>95</w:t>
            </w:r>
          </w:p>
        </w:tc>
        <w:tc>
          <w:tcPr>
            <w:tcW w:w="721" w:type="dxa"/>
            <w:tcBorders>
              <w:top w:val="single" w:color="000000" w:sz="2" w:space="0"/>
              <w:left w:val="single" w:color="000000" w:sz="2" w:space="0"/>
              <w:bottom w:val="single" w:color="000000" w:sz="2" w:space="0"/>
              <w:right w:val="single" w:color="000000" w:sz="2" w:space="0"/>
            </w:tcBorders>
            <w:vAlign w:val="center"/>
          </w:tcPr>
          <w:p w14:paraId="1BBB933C">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6"/>
                <w:sz w:val="21"/>
                <w:szCs w:val="21"/>
              </w:rPr>
              <w:t>60</w:t>
            </w:r>
          </w:p>
        </w:tc>
        <w:tc>
          <w:tcPr>
            <w:tcW w:w="817" w:type="dxa"/>
            <w:tcBorders>
              <w:top w:val="single" w:color="000000" w:sz="2" w:space="0"/>
              <w:left w:val="single" w:color="000000" w:sz="2" w:space="0"/>
              <w:bottom w:val="single" w:color="000000" w:sz="2" w:space="0"/>
              <w:right w:val="single" w:color="000000" w:sz="2" w:space="0"/>
            </w:tcBorders>
            <w:vAlign w:val="center"/>
          </w:tcPr>
          <w:p w14:paraId="6F8C14B3">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6"/>
                <w:sz w:val="21"/>
                <w:szCs w:val="21"/>
              </w:rPr>
              <w:t>10</w:t>
            </w:r>
          </w:p>
        </w:tc>
        <w:tc>
          <w:tcPr>
            <w:tcW w:w="722" w:type="dxa"/>
            <w:tcBorders>
              <w:top w:val="single" w:color="000000" w:sz="2" w:space="0"/>
              <w:left w:val="single" w:color="000000" w:sz="2" w:space="0"/>
              <w:bottom w:val="single" w:color="000000" w:sz="2" w:space="0"/>
              <w:right w:val="single" w:color="000000" w:sz="2" w:space="0"/>
            </w:tcBorders>
            <w:vAlign w:val="center"/>
          </w:tcPr>
          <w:p w14:paraId="760819D1">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6"/>
                <w:sz w:val="21"/>
                <w:szCs w:val="21"/>
              </w:rPr>
              <w:t>30</w:t>
            </w:r>
          </w:p>
        </w:tc>
        <w:tc>
          <w:tcPr>
            <w:tcW w:w="516" w:type="dxa"/>
            <w:tcBorders>
              <w:top w:val="single" w:color="000000" w:sz="2" w:space="0"/>
              <w:left w:val="single" w:color="000000" w:sz="2" w:space="0"/>
              <w:bottom w:val="single" w:color="000000" w:sz="2" w:space="0"/>
              <w:right w:val="single" w:color="000000" w:sz="2" w:space="0"/>
            </w:tcBorders>
            <w:vAlign w:val="center"/>
          </w:tcPr>
          <w:p w14:paraId="5AA4B4DB">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46</w:t>
            </w:r>
            <w:r>
              <w:rPr>
                <w:rFonts w:hint="default" w:ascii="Times New Roman" w:hAnsi="Times New Roman" w:eastAsia="Times New Roman" w:cs="Times New Roman"/>
                <w:color w:val="000000"/>
                <w:spacing w:val="-2"/>
                <w:sz w:val="21"/>
                <w:szCs w:val="21"/>
              </w:rPr>
              <w:t>.9</w:t>
            </w:r>
          </w:p>
        </w:tc>
        <w:tc>
          <w:tcPr>
            <w:tcW w:w="618" w:type="dxa"/>
            <w:tcBorders>
              <w:top w:val="single" w:color="000000" w:sz="2" w:space="0"/>
              <w:left w:val="single" w:color="000000" w:sz="2" w:space="0"/>
              <w:bottom w:val="single" w:color="000000" w:sz="2" w:space="0"/>
              <w:right w:val="single" w:color="000000" w:sz="2" w:space="0"/>
            </w:tcBorders>
            <w:vAlign w:val="center"/>
          </w:tcPr>
          <w:p w14:paraId="2FD41448">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5.6</w:t>
            </w:r>
          </w:p>
        </w:tc>
        <w:tc>
          <w:tcPr>
            <w:tcW w:w="609" w:type="dxa"/>
            <w:tcBorders>
              <w:top w:val="single" w:color="000000" w:sz="2" w:space="0"/>
              <w:left w:val="single" w:color="000000" w:sz="2" w:space="0"/>
              <w:bottom w:val="single" w:color="000000" w:sz="2" w:space="0"/>
              <w:right w:val="single" w:color="000000" w:sz="2" w:space="0"/>
            </w:tcBorders>
            <w:vAlign w:val="center"/>
          </w:tcPr>
          <w:p w14:paraId="71B0FD35">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14</w:t>
            </w:r>
            <w:r>
              <w:rPr>
                <w:rFonts w:hint="default" w:ascii="Times New Roman" w:hAnsi="Times New Roman" w:eastAsia="Times New Roman" w:cs="Times New Roman"/>
                <w:color w:val="000000"/>
                <w:spacing w:val="-2"/>
                <w:sz w:val="21"/>
                <w:szCs w:val="21"/>
              </w:rPr>
              <w:t>.4</w:t>
            </w:r>
          </w:p>
        </w:tc>
        <w:tc>
          <w:tcPr>
            <w:tcW w:w="615" w:type="dxa"/>
            <w:tcBorders>
              <w:top w:val="single" w:color="000000" w:sz="2" w:space="0"/>
              <w:left w:val="single" w:color="000000" w:sz="2" w:space="0"/>
              <w:bottom w:val="single" w:color="000000" w:sz="2" w:space="0"/>
              <w:right w:val="single" w:color="000000" w:sz="2" w:space="0"/>
            </w:tcBorders>
            <w:vAlign w:val="center"/>
          </w:tcPr>
          <w:p w14:paraId="5016E5ED">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3.5</w:t>
            </w:r>
          </w:p>
        </w:tc>
        <w:tc>
          <w:tcPr>
            <w:tcW w:w="727" w:type="dxa"/>
            <w:tcBorders>
              <w:top w:val="single" w:color="000000" w:sz="2" w:space="0"/>
              <w:left w:val="single" w:color="000000" w:sz="2" w:space="0"/>
              <w:bottom w:val="single" w:color="000000" w:sz="2" w:space="0"/>
              <w:right w:val="single" w:color="000000" w:sz="2" w:space="0"/>
            </w:tcBorders>
            <w:vAlign w:val="center"/>
          </w:tcPr>
          <w:p w14:paraId="352A3BCE">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12"/>
                <w:sz w:val="21"/>
                <w:szCs w:val="21"/>
              </w:rPr>
              <w:t>-</w:t>
            </w:r>
          </w:p>
        </w:tc>
      </w:tr>
      <w:tr w14:paraId="374C46A5">
        <w:tblPrEx>
          <w:tblCellMar>
            <w:top w:w="0" w:type="dxa"/>
            <w:left w:w="0" w:type="dxa"/>
            <w:bottom w:w="0" w:type="dxa"/>
            <w:right w:w="0" w:type="dxa"/>
          </w:tblCellMar>
        </w:tblPrEx>
        <w:trPr>
          <w:trHeight w:val="388" w:hRule="exact"/>
          <w:jc w:val="center"/>
        </w:trPr>
        <w:tc>
          <w:tcPr>
            <w:tcW w:w="622" w:type="dxa"/>
            <w:vMerge w:val="continue"/>
            <w:tcBorders>
              <w:top w:val="single" w:color="000000" w:sz="2" w:space="0"/>
              <w:left w:val="single" w:color="000000" w:sz="2" w:space="0"/>
              <w:bottom w:val="single" w:color="000000" w:sz="2" w:space="0"/>
              <w:right w:val="single" w:color="000000" w:sz="2" w:space="0"/>
            </w:tcBorders>
            <w:vAlign w:val="center"/>
          </w:tcPr>
          <w:p w14:paraId="5A0D966A">
            <w:pPr>
              <w:keepNext w:val="0"/>
              <w:keepLines w:val="0"/>
              <w:pageBreakBefore w:val="0"/>
              <w:widowControl w:val="0"/>
              <w:kinsoku/>
              <w:wordWrap/>
              <w:overflowPunct/>
              <w:topLinePunct w:val="0"/>
              <w:bidi w:val="0"/>
              <w:adjustRightInd/>
              <w:snapToGrid/>
              <w:spacing w:line="0" w:lineRule="atLeast"/>
              <w:ind w:left="0" w:right="0" w:firstLine="0" w:firstLineChars="0"/>
              <w:jc w:val="center"/>
              <w:textAlignment w:val="auto"/>
              <w:rPr>
                <w:rFonts w:hint="default" w:ascii="Times New Roman" w:hAnsi="Times New Roman" w:cs="Times New Roman"/>
                <w:sz w:val="21"/>
                <w:szCs w:val="21"/>
              </w:rPr>
            </w:pPr>
          </w:p>
        </w:tc>
        <w:tc>
          <w:tcPr>
            <w:tcW w:w="1528" w:type="dxa"/>
            <w:tcBorders>
              <w:top w:val="single" w:color="000000" w:sz="2" w:space="0"/>
              <w:left w:val="single" w:color="000000" w:sz="2" w:space="0"/>
              <w:bottom w:val="single" w:color="000000" w:sz="2" w:space="0"/>
              <w:right w:val="single" w:color="000000" w:sz="2" w:space="0"/>
            </w:tcBorders>
            <w:vAlign w:val="center"/>
          </w:tcPr>
          <w:p w14:paraId="4697005A">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spacing w:val="-2"/>
                <w:sz w:val="21"/>
                <w:szCs w:val="21"/>
              </w:rPr>
              <w:t>筛分</w:t>
            </w:r>
            <w:r>
              <w:rPr>
                <w:rFonts w:hint="default" w:ascii="Times New Roman" w:hAnsi="Times New Roman" w:eastAsia="宋体" w:cs="Times New Roman"/>
                <w:color w:val="000000"/>
                <w:spacing w:val="-3"/>
                <w:sz w:val="21"/>
                <w:szCs w:val="21"/>
              </w:rPr>
              <w:t>（筛</w:t>
            </w:r>
            <w:r>
              <w:rPr>
                <w:rFonts w:hint="default" w:ascii="Times New Roman" w:hAnsi="Times New Roman" w:eastAsia="宋体" w:cs="Times New Roman"/>
                <w:color w:val="000000"/>
                <w:spacing w:val="-2"/>
                <w:sz w:val="21"/>
                <w:szCs w:val="21"/>
              </w:rPr>
              <w:t>子除尘）</w:t>
            </w:r>
          </w:p>
        </w:tc>
        <w:tc>
          <w:tcPr>
            <w:tcW w:w="817" w:type="dxa"/>
            <w:tcBorders>
              <w:top w:val="single" w:color="000000" w:sz="2" w:space="0"/>
              <w:left w:val="single" w:color="000000" w:sz="2" w:space="0"/>
              <w:bottom w:val="single" w:color="000000" w:sz="2" w:space="0"/>
              <w:right w:val="single" w:color="000000" w:sz="2" w:space="0"/>
            </w:tcBorders>
            <w:vAlign w:val="center"/>
          </w:tcPr>
          <w:p w14:paraId="5161760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4.</w:t>
            </w:r>
            <w:r>
              <w:rPr>
                <w:rFonts w:hint="default" w:ascii="Times New Roman" w:hAnsi="Times New Roman" w:eastAsia="Times New Roman" w:cs="Times New Roman"/>
                <w:color w:val="000000"/>
                <w:spacing w:val="-2"/>
                <w:sz w:val="21"/>
                <w:szCs w:val="21"/>
              </w:rPr>
              <w:t>78</w:t>
            </w:r>
          </w:p>
        </w:tc>
        <w:tc>
          <w:tcPr>
            <w:tcW w:w="721" w:type="dxa"/>
            <w:tcBorders>
              <w:top w:val="single" w:color="000000" w:sz="2" w:space="0"/>
              <w:left w:val="single" w:color="000000" w:sz="2" w:space="0"/>
              <w:bottom w:val="single" w:color="000000" w:sz="2" w:space="0"/>
              <w:right w:val="single" w:color="000000" w:sz="2" w:space="0"/>
            </w:tcBorders>
            <w:vAlign w:val="center"/>
          </w:tcPr>
          <w:p w14:paraId="7E2A36AE">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6"/>
                <w:sz w:val="21"/>
                <w:szCs w:val="21"/>
              </w:rPr>
              <w:t>67</w:t>
            </w:r>
          </w:p>
        </w:tc>
        <w:tc>
          <w:tcPr>
            <w:tcW w:w="817" w:type="dxa"/>
            <w:tcBorders>
              <w:top w:val="single" w:color="000000" w:sz="2" w:space="0"/>
              <w:left w:val="single" w:color="000000" w:sz="2" w:space="0"/>
              <w:bottom w:val="single" w:color="000000" w:sz="2" w:space="0"/>
              <w:right w:val="single" w:color="000000" w:sz="2" w:space="0"/>
            </w:tcBorders>
            <w:vAlign w:val="center"/>
          </w:tcPr>
          <w:p w14:paraId="6A884AC6">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6"/>
                <w:sz w:val="21"/>
                <w:szCs w:val="21"/>
              </w:rPr>
              <w:t>14</w:t>
            </w:r>
          </w:p>
        </w:tc>
        <w:tc>
          <w:tcPr>
            <w:tcW w:w="722" w:type="dxa"/>
            <w:tcBorders>
              <w:top w:val="single" w:color="000000" w:sz="2" w:space="0"/>
              <w:left w:val="single" w:color="000000" w:sz="2" w:space="0"/>
              <w:bottom w:val="single" w:color="000000" w:sz="2" w:space="0"/>
              <w:right w:val="single" w:color="000000" w:sz="2" w:space="0"/>
            </w:tcBorders>
            <w:vAlign w:val="center"/>
          </w:tcPr>
          <w:p w14:paraId="3056B9B0">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6"/>
                <w:sz w:val="21"/>
                <w:szCs w:val="21"/>
              </w:rPr>
              <w:t>19</w:t>
            </w:r>
          </w:p>
        </w:tc>
        <w:tc>
          <w:tcPr>
            <w:tcW w:w="516" w:type="dxa"/>
            <w:tcBorders>
              <w:top w:val="single" w:color="000000" w:sz="2" w:space="0"/>
              <w:left w:val="single" w:color="000000" w:sz="2" w:space="0"/>
              <w:bottom w:val="single" w:color="000000" w:sz="2" w:space="0"/>
              <w:right w:val="single" w:color="000000" w:sz="2" w:space="0"/>
            </w:tcBorders>
            <w:vAlign w:val="center"/>
          </w:tcPr>
          <w:p w14:paraId="4F2C5550">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46</w:t>
            </w:r>
            <w:r>
              <w:rPr>
                <w:rFonts w:hint="default" w:ascii="Times New Roman" w:hAnsi="Times New Roman" w:eastAsia="Times New Roman" w:cs="Times New Roman"/>
                <w:color w:val="000000"/>
                <w:spacing w:val="-2"/>
                <w:sz w:val="21"/>
                <w:szCs w:val="21"/>
              </w:rPr>
              <w:t>.9</w:t>
            </w:r>
          </w:p>
        </w:tc>
        <w:tc>
          <w:tcPr>
            <w:tcW w:w="618" w:type="dxa"/>
            <w:tcBorders>
              <w:top w:val="single" w:color="000000" w:sz="2" w:space="0"/>
              <w:left w:val="single" w:color="000000" w:sz="2" w:space="0"/>
              <w:bottom w:val="single" w:color="000000" w:sz="2" w:space="0"/>
              <w:right w:val="single" w:color="000000" w:sz="2" w:space="0"/>
            </w:tcBorders>
            <w:vAlign w:val="center"/>
          </w:tcPr>
          <w:p w14:paraId="5408BA74">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5.6</w:t>
            </w:r>
          </w:p>
        </w:tc>
        <w:tc>
          <w:tcPr>
            <w:tcW w:w="609" w:type="dxa"/>
            <w:tcBorders>
              <w:top w:val="single" w:color="000000" w:sz="2" w:space="0"/>
              <w:left w:val="single" w:color="000000" w:sz="2" w:space="0"/>
              <w:bottom w:val="single" w:color="000000" w:sz="2" w:space="0"/>
              <w:right w:val="single" w:color="000000" w:sz="2" w:space="0"/>
            </w:tcBorders>
            <w:vAlign w:val="center"/>
          </w:tcPr>
          <w:p w14:paraId="2A10E8DD">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14</w:t>
            </w:r>
            <w:r>
              <w:rPr>
                <w:rFonts w:hint="default" w:ascii="Times New Roman" w:hAnsi="Times New Roman" w:eastAsia="Times New Roman" w:cs="Times New Roman"/>
                <w:color w:val="000000"/>
                <w:spacing w:val="-2"/>
                <w:sz w:val="21"/>
                <w:szCs w:val="21"/>
              </w:rPr>
              <w:t>.4</w:t>
            </w:r>
          </w:p>
        </w:tc>
        <w:tc>
          <w:tcPr>
            <w:tcW w:w="615" w:type="dxa"/>
            <w:tcBorders>
              <w:top w:val="single" w:color="000000" w:sz="2" w:space="0"/>
              <w:left w:val="single" w:color="000000" w:sz="2" w:space="0"/>
              <w:bottom w:val="single" w:color="000000" w:sz="2" w:space="0"/>
              <w:right w:val="single" w:color="000000" w:sz="2" w:space="0"/>
            </w:tcBorders>
            <w:vAlign w:val="center"/>
          </w:tcPr>
          <w:p w14:paraId="6535FA5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4"/>
                <w:sz w:val="21"/>
                <w:szCs w:val="21"/>
              </w:rPr>
              <w:t>3.5</w:t>
            </w:r>
          </w:p>
        </w:tc>
        <w:tc>
          <w:tcPr>
            <w:tcW w:w="727" w:type="dxa"/>
            <w:tcBorders>
              <w:top w:val="single" w:color="000000" w:sz="2" w:space="0"/>
              <w:left w:val="single" w:color="000000" w:sz="2" w:space="0"/>
              <w:bottom w:val="single" w:color="000000" w:sz="2" w:space="0"/>
              <w:right w:val="single" w:color="000000" w:sz="2" w:space="0"/>
            </w:tcBorders>
            <w:vAlign w:val="center"/>
          </w:tcPr>
          <w:p w14:paraId="2FEC6CAB">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color w:val="000000"/>
                <w:spacing w:val="-12"/>
                <w:sz w:val="21"/>
                <w:szCs w:val="21"/>
              </w:rPr>
              <w:t>-</w:t>
            </w:r>
          </w:p>
        </w:tc>
      </w:tr>
    </w:tbl>
    <w:p w14:paraId="52A8996B">
      <w:pPr>
        <w:bidi w:val="0"/>
        <w:rPr>
          <w:sz w:val="24"/>
          <w:szCs w:val="24"/>
        </w:rPr>
      </w:pPr>
      <w:r>
        <w:rPr>
          <w:rFonts w:ascii="宋体" w:hAnsi="宋体" w:eastAsia="宋体" w:cs="宋体"/>
          <w:color w:val="000000"/>
          <w:spacing w:val="-4"/>
          <w:sz w:val="24"/>
          <w:szCs w:val="24"/>
        </w:rPr>
        <w:t>烧结烟气中的</w:t>
      </w:r>
      <w:r>
        <w:rPr>
          <w:rFonts w:ascii="Times New Roman" w:hAnsi="Times New Roman" w:eastAsia="Times New Roman" w:cs="Times New Roman"/>
          <w:color w:val="000000"/>
          <w:spacing w:val="-2"/>
          <w:sz w:val="24"/>
          <w:szCs w:val="24"/>
        </w:rPr>
        <w:t>SO</w:t>
      </w:r>
      <w:r>
        <w:rPr>
          <w:rFonts w:ascii="Times New Roman" w:hAnsi="Times New Roman" w:eastAsia="Times New Roman" w:cs="Times New Roman"/>
          <w:color w:val="000000"/>
          <w:spacing w:val="-2"/>
          <w:sz w:val="24"/>
          <w:szCs w:val="24"/>
          <w:vertAlign w:val="subscript"/>
        </w:rPr>
        <w:t>2</w:t>
      </w:r>
      <w:r>
        <w:rPr>
          <w:rFonts w:ascii="宋体" w:hAnsi="宋体" w:eastAsia="宋体" w:cs="宋体"/>
          <w:color w:val="000000"/>
          <w:spacing w:val="-4"/>
          <w:sz w:val="24"/>
          <w:szCs w:val="24"/>
        </w:rPr>
        <w:t>主要来源于铁矿石和固体燃料（如煤粉等）。铁矿石中的硫通常以硫化物</w:t>
      </w:r>
      <w:r>
        <w:rPr>
          <w:rFonts w:ascii="宋体" w:hAnsi="宋体" w:eastAsia="宋体" w:cs="宋体"/>
          <w:color w:val="000000"/>
          <w:spacing w:val="-1"/>
          <w:sz w:val="24"/>
          <w:szCs w:val="24"/>
        </w:rPr>
        <w:t>（</w:t>
      </w:r>
      <w:r>
        <w:rPr>
          <w:rFonts w:ascii="Times New Roman" w:hAnsi="Times New Roman" w:eastAsia="Times New Roman" w:cs="Times New Roman"/>
          <w:color w:val="000000"/>
          <w:sz w:val="24"/>
          <w:szCs w:val="24"/>
        </w:rPr>
        <w:t>FeS</w:t>
      </w:r>
      <w:r>
        <w:rPr>
          <w:rFonts w:ascii="Times New Roman" w:hAnsi="Times New Roman" w:eastAsia="Times New Roman" w:cs="Times New Roman"/>
          <w:color w:val="000000"/>
          <w:spacing w:val="-2"/>
          <w:sz w:val="24"/>
          <w:szCs w:val="24"/>
          <w:vertAlign w:val="subscript"/>
        </w:rPr>
        <w:t>2</w:t>
      </w:r>
      <w:r>
        <w:rPr>
          <w:rFonts w:ascii="宋体" w:hAnsi="宋体" w:eastAsia="宋体" w:cs="宋体"/>
          <w:color w:val="000000"/>
          <w:sz w:val="24"/>
          <w:szCs w:val="24"/>
        </w:rPr>
        <w:t>、</w:t>
      </w:r>
      <w:r>
        <w:rPr>
          <w:rFonts w:ascii="Times New Roman" w:hAnsi="Times New Roman" w:eastAsia="Times New Roman" w:cs="Times New Roman"/>
          <w:color w:val="000000"/>
          <w:spacing w:val="-1"/>
          <w:sz w:val="24"/>
          <w:szCs w:val="24"/>
        </w:rPr>
        <w:t>CuFeS</w:t>
      </w:r>
      <w:r>
        <w:rPr>
          <w:rFonts w:ascii="Times New Roman" w:hAnsi="Times New Roman" w:eastAsia="Times New Roman" w:cs="Times New Roman"/>
          <w:color w:val="000000"/>
          <w:sz w:val="24"/>
          <w:szCs w:val="24"/>
          <w:vertAlign w:val="subscript"/>
        </w:rPr>
        <w:t>2</w:t>
      </w:r>
      <w:r>
        <w:rPr>
          <w:rFonts w:ascii="宋体" w:hAnsi="宋体" w:eastAsia="宋体" w:cs="宋体"/>
          <w:color w:val="000000"/>
          <w:spacing w:val="-1"/>
          <w:sz w:val="24"/>
          <w:szCs w:val="24"/>
        </w:rPr>
        <w:t>等）、硫酸盐（</w:t>
      </w:r>
      <w:r>
        <w:rPr>
          <w:rFonts w:ascii="Times New Roman" w:hAnsi="Times New Roman" w:eastAsia="Times New Roman" w:cs="Times New Roman"/>
          <w:color w:val="000000"/>
          <w:sz w:val="24"/>
          <w:szCs w:val="24"/>
        </w:rPr>
        <w:t>BaSO</w:t>
      </w:r>
      <w:r>
        <w:rPr>
          <w:rFonts w:ascii="Times New Roman" w:hAnsi="Times New Roman" w:eastAsia="Times New Roman" w:cs="Times New Roman"/>
          <w:color w:val="000000"/>
          <w:sz w:val="24"/>
          <w:szCs w:val="24"/>
          <w:vertAlign w:val="subscript"/>
        </w:rPr>
        <w:t>4</w:t>
      </w:r>
      <w:r>
        <w:rPr>
          <w:rFonts w:ascii="宋体" w:hAnsi="宋体" w:eastAsia="宋体" w:cs="宋体"/>
          <w:color w:val="000000"/>
          <w:spacing w:val="-1"/>
          <w:sz w:val="24"/>
          <w:szCs w:val="24"/>
        </w:rPr>
        <w:t>、</w:t>
      </w:r>
      <w:r>
        <w:rPr>
          <w:rFonts w:ascii="Times New Roman" w:hAnsi="Times New Roman" w:eastAsia="Times New Roman" w:cs="Times New Roman"/>
          <w:color w:val="000000"/>
          <w:sz w:val="24"/>
          <w:szCs w:val="24"/>
        </w:rPr>
        <w:t>CaSO</w:t>
      </w:r>
      <w:r>
        <w:rPr>
          <w:rFonts w:ascii="Times New Roman" w:hAnsi="Times New Roman" w:eastAsia="Times New Roman" w:cs="Times New Roman"/>
          <w:color w:val="000000"/>
          <w:spacing w:val="-2"/>
          <w:sz w:val="24"/>
          <w:szCs w:val="24"/>
          <w:vertAlign w:val="subscript"/>
        </w:rPr>
        <w:t>4</w:t>
      </w:r>
      <w:r>
        <w:rPr>
          <w:rFonts w:ascii="宋体" w:hAnsi="宋体" w:eastAsia="宋体" w:cs="宋体"/>
          <w:color w:val="000000"/>
          <w:spacing w:val="-1"/>
          <w:sz w:val="24"/>
          <w:szCs w:val="24"/>
        </w:rPr>
        <w:t>、</w:t>
      </w:r>
      <w:r>
        <w:rPr>
          <w:rFonts w:ascii="Times New Roman" w:hAnsi="Times New Roman" w:eastAsia="Times New Roman" w:cs="Times New Roman"/>
          <w:color w:val="000000"/>
          <w:spacing w:val="-1"/>
          <w:sz w:val="24"/>
          <w:szCs w:val="24"/>
        </w:rPr>
        <w:t>MgSO</w:t>
      </w:r>
      <w:r>
        <w:rPr>
          <w:rFonts w:ascii="Times New Roman" w:hAnsi="Times New Roman" w:eastAsia="Times New Roman" w:cs="Times New Roman"/>
          <w:color w:val="000000"/>
          <w:spacing w:val="1"/>
          <w:sz w:val="24"/>
          <w:szCs w:val="24"/>
          <w:vertAlign w:val="subscript"/>
        </w:rPr>
        <w:t>4</w:t>
      </w:r>
      <w:r>
        <w:rPr>
          <w:rFonts w:ascii="宋体" w:hAnsi="宋体" w:eastAsia="宋体" w:cs="宋体"/>
          <w:color w:val="000000"/>
          <w:spacing w:val="-1"/>
          <w:sz w:val="24"/>
          <w:szCs w:val="24"/>
        </w:rPr>
        <w:t>等）的形式存在，燃料煤中的硫多以有</w:t>
      </w:r>
      <w:r>
        <w:rPr>
          <w:rFonts w:ascii="宋体" w:hAnsi="宋体" w:eastAsia="宋体" w:cs="宋体"/>
          <w:color w:val="000000"/>
          <w:sz w:val="24"/>
          <w:szCs w:val="24"/>
        </w:rPr>
        <w:t>机硫的形式存在，硫化物和有机硫分解后很快和</w:t>
      </w:r>
      <w:r>
        <w:rPr>
          <w:rFonts w:ascii="Times New Roman" w:hAnsi="Times New Roman" w:eastAsia="Times New Roman" w:cs="Times New Roman"/>
          <w:color w:val="000000"/>
          <w:sz w:val="24"/>
          <w:szCs w:val="24"/>
        </w:rPr>
        <w:t>O</w:t>
      </w:r>
      <w:r>
        <w:rPr>
          <w:rFonts w:ascii="Times New Roman" w:hAnsi="Times New Roman" w:eastAsia="Times New Roman" w:cs="Times New Roman"/>
          <w:color w:val="000000"/>
          <w:sz w:val="24"/>
          <w:szCs w:val="24"/>
          <w:vertAlign w:val="subscript"/>
        </w:rPr>
        <w:t>2</w:t>
      </w:r>
      <w:r>
        <w:rPr>
          <w:rFonts w:ascii="宋体" w:hAnsi="宋体" w:eastAsia="宋体" w:cs="宋体"/>
          <w:color w:val="000000"/>
          <w:sz w:val="24"/>
          <w:szCs w:val="24"/>
        </w:rPr>
        <w:t>反应而氧化为</w:t>
      </w:r>
      <w:r>
        <w:rPr>
          <w:rFonts w:ascii="Times New Roman" w:hAnsi="Times New Roman" w:eastAsia="Times New Roman" w:cs="Times New Roman"/>
          <w:color w:val="000000"/>
          <w:sz w:val="24"/>
          <w:szCs w:val="24"/>
        </w:rPr>
        <w:t>SO</w:t>
      </w:r>
      <w:r>
        <w:rPr>
          <w:rFonts w:ascii="Times New Roman" w:hAnsi="Times New Roman" w:eastAsia="Times New Roman" w:cs="Times New Roman"/>
          <w:color w:val="000000"/>
          <w:sz w:val="24"/>
          <w:szCs w:val="24"/>
          <w:vertAlign w:val="subscript"/>
        </w:rPr>
        <w:t>2</w:t>
      </w:r>
      <w:r>
        <w:rPr>
          <w:rFonts w:ascii="宋体" w:hAnsi="宋体" w:eastAsia="宋体" w:cs="宋体"/>
          <w:color w:val="000000"/>
          <w:sz w:val="24"/>
          <w:szCs w:val="24"/>
        </w:rPr>
        <w:t>，而硫酸盐在分解反应中</w:t>
      </w:r>
      <w:r>
        <w:rPr>
          <w:rFonts w:ascii="宋体" w:hAnsi="宋体" w:eastAsia="宋体" w:cs="宋体"/>
          <w:color w:val="000000"/>
          <w:spacing w:val="-3"/>
          <w:sz w:val="24"/>
          <w:szCs w:val="24"/>
        </w:rPr>
        <w:t>释放出</w:t>
      </w:r>
      <w:r>
        <w:rPr>
          <w:rFonts w:ascii="Times New Roman" w:hAnsi="Times New Roman" w:eastAsia="Times New Roman" w:cs="Times New Roman"/>
          <w:color w:val="000000"/>
          <w:spacing w:val="-2"/>
          <w:sz w:val="24"/>
          <w:szCs w:val="24"/>
        </w:rPr>
        <w:t>SO</w:t>
      </w:r>
      <w:r>
        <w:rPr>
          <w:rFonts w:ascii="Times New Roman" w:hAnsi="Times New Roman" w:eastAsia="Times New Roman" w:cs="Times New Roman"/>
          <w:color w:val="000000"/>
          <w:spacing w:val="-1"/>
          <w:sz w:val="24"/>
          <w:szCs w:val="24"/>
          <w:vertAlign w:val="subscript"/>
        </w:rPr>
        <w:t>2</w:t>
      </w:r>
      <w:r>
        <w:rPr>
          <w:rFonts w:ascii="宋体" w:hAnsi="宋体" w:eastAsia="宋体" w:cs="宋体"/>
          <w:color w:val="000000"/>
          <w:spacing w:val="-3"/>
          <w:sz w:val="24"/>
          <w:szCs w:val="24"/>
        </w:rPr>
        <w:t>。每生产</w:t>
      </w:r>
      <w:r>
        <w:rPr>
          <w:rFonts w:ascii="Times New Roman" w:hAnsi="Times New Roman" w:eastAsia="Times New Roman" w:cs="Times New Roman"/>
          <w:color w:val="000000"/>
          <w:spacing w:val="-1"/>
          <w:sz w:val="24"/>
          <w:szCs w:val="24"/>
        </w:rPr>
        <w:t>1t</w:t>
      </w:r>
      <w:r>
        <w:rPr>
          <w:rFonts w:ascii="宋体" w:hAnsi="宋体" w:eastAsia="宋体" w:cs="宋体"/>
          <w:color w:val="000000"/>
          <w:spacing w:val="-3"/>
          <w:sz w:val="24"/>
          <w:szCs w:val="24"/>
        </w:rPr>
        <w:t>烧结矿需要燃料煤约</w:t>
      </w:r>
      <w:r>
        <w:rPr>
          <w:rFonts w:ascii="Times New Roman" w:hAnsi="Times New Roman" w:eastAsia="Times New Roman" w:cs="Times New Roman"/>
          <w:color w:val="000000"/>
          <w:spacing w:val="-1"/>
          <w:sz w:val="24"/>
          <w:szCs w:val="24"/>
        </w:rPr>
        <w:t>35</w:t>
      </w:r>
      <w:r>
        <w:rPr>
          <w:rFonts w:ascii="宋体" w:hAnsi="宋体" w:eastAsia="宋体" w:cs="宋体"/>
          <w:color w:val="000000"/>
          <w:spacing w:val="-3"/>
          <w:sz w:val="24"/>
          <w:szCs w:val="24"/>
        </w:rPr>
        <w:t>～</w:t>
      </w:r>
      <w:r>
        <w:rPr>
          <w:rFonts w:ascii="Times New Roman" w:hAnsi="Times New Roman" w:eastAsia="Times New Roman" w:cs="Times New Roman"/>
          <w:color w:val="000000"/>
          <w:spacing w:val="-1"/>
          <w:sz w:val="24"/>
          <w:szCs w:val="24"/>
        </w:rPr>
        <w:t>55kg</w:t>
      </w:r>
      <w:r>
        <w:rPr>
          <w:rFonts w:ascii="宋体" w:hAnsi="宋体" w:eastAsia="宋体" w:cs="宋体"/>
          <w:color w:val="000000"/>
          <w:spacing w:val="-5"/>
          <w:sz w:val="24"/>
          <w:szCs w:val="24"/>
        </w:rPr>
        <w:t>，</w:t>
      </w:r>
      <w:r>
        <w:rPr>
          <w:rFonts w:ascii="宋体" w:hAnsi="宋体" w:eastAsia="宋体" w:cs="宋体"/>
          <w:color w:val="000000"/>
          <w:spacing w:val="-3"/>
          <w:sz w:val="24"/>
          <w:szCs w:val="24"/>
        </w:rPr>
        <w:t>铁矿石的含硫量因产地的不同，变化幅</w:t>
      </w:r>
      <w:r>
        <w:rPr>
          <w:rFonts w:ascii="宋体" w:hAnsi="宋体" w:eastAsia="宋体" w:cs="宋体"/>
          <w:color w:val="000000"/>
          <w:sz w:val="24"/>
          <w:szCs w:val="24"/>
        </w:rPr>
        <w:t>度高达数十倍。适当地选择、配入低硫的原料，可有效减少</w:t>
      </w:r>
      <w:r>
        <w:rPr>
          <w:rFonts w:ascii="Times New Roman" w:hAnsi="Times New Roman" w:eastAsia="Times New Roman" w:cs="Times New Roman"/>
          <w:color w:val="000000"/>
          <w:sz w:val="24"/>
          <w:szCs w:val="24"/>
        </w:rPr>
        <w:t>SO</w:t>
      </w:r>
      <w:r>
        <w:rPr>
          <w:rFonts w:ascii="Times New Roman" w:hAnsi="Times New Roman" w:eastAsia="Times New Roman" w:cs="Times New Roman"/>
          <w:color w:val="000000"/>
          <w:sz w:val="24"/>
          <w:szCs w:val="24"/>
          <w:vertAlign w:val="subscript"/>
        </w:rPr>
        <w:t>2</w:t>
      </w:r>
      <w:r>
        <w:rPr>
          <w:rFonts w:ascii="宋体" w:hAnsi="宋体" w:eastAsia="宋体" w:cs="宋体"/>
          <w:color w:val="000000"/>
          <w:sz w:val="24"/>
          <w:szCs w:val="24"/>
        </w:rPr>
        <w:t>排放量。因铁矿石来源不同，</w:t>
      </w:r>
      <w:r>
        <w:rPr>
          <w:rFonts w:ascii="宋体" w:hAnsi="宋体" w:eastAsia="宋体" w:cs="宋体"/>
          <w:color w:val="000000"/>
          <w:spacing w:val="-4"/>
          <w:sz w:val="24"/>
          <w:szCs w:val="24"/>
        </w:rPr>
        <w:t>烧结、球团生产过程中硫的输入不等，每生产</w:t>
      </w:r>
      <w:r>
        <w:rPr>
          <w:rFonts w:ascii="Times New Roman" w:hAnsi="Times New Roman" w:eastAsia="Times New Roman" w:cs="Times New Roman"/>
          <w:color w:val="000000"/>
          <w:spacing w:val="-3"/>
          <w:sz w:val="24"/>
          <w:szCs w:val="24"/>
        </w:rPr>
        <w:t>1t</w:t>
      </w:r>
      <w:r>
        <w:rPr>
          <w:rFonts w:ascii="宋体" w:hAnsi="宋体" w:eastAsia="宋体" w:cs="宋体"/>
          <w:color w:val="000000"/>
          <w:spacing w:val="-4"/>
          <w:sz w:val="24"/>
          <w:szCs w:val="24"/>
        </w:rPr>
        <w:t>烧结矿产生</w:t>
      </w:r>
      <w:r>
        <w:rPr>
          <w:rFonts w:ascii="Times New Roman" w:hAnsi="Times New Roman" w:eastAsia="Times New Roman" w:cs="Times New Roman"/>
          <w:color w:val="000000"/>
          <w:spacing w:val="-2"/>
          <w:sz w:val="24"/>
          <w:szCs w:val="24"/>
        </w:rPr>
        <w:t>SO</w:t>
      </w:r>
      <w:r>
        <w:rPr>
          <w:rFonts w:ascii="Times New Roman" w:hAnsi="Times New Roman" w:eastAsia="Times New Roman" w:cs="Times New Roman"/>
          <w:color w:val="000000"/>
          <w:spacing w:val="-2"/>
          <w:sz w:val="24"/>
          <w:szCs w:val="24"/>
          <w:vertAlign w:val="subscript"/>
        </w:rPr>
        <w:t>2</w:t>
      </w:r>
      <w:r>
        <w:rPr>
          <w:rFonts w:ascii="宋体" w:hAnsi="宋体" w:eastAsia="宋体" w:cs="宋体"/>
          <w:color w:val="000000"/>
          <w:spacing w:val="-4"/>
          <w:sz w:val="24"/>
          <w:szCs w:val="24"/>
        </w:rPr>
        <w:t>一般在</w:t>
      </w:r>
      <w:r>
        <w:rPr>
          <w:rFonts w:ascii="Times New Roman" w:hAnsi="Times New Roman" w:eastAsia="Times New Roman" w:cs="Times New Roman"/>
          <w:color w:val="000000"/>
          <w:spacing w:val="-2"/>
          <w:sz w:val="24"/>
          <w:szCs w:val="24"/>
        </w:rPr>
        <w:t>0.8</w:t>
      </w:r>
      <w:r>
        <w:rPr>
          <w:rFonts w:ascii="宋体" w:hAnsi="宋体" w:eastAsia="宋体" w:cs="宋体"/>
          <w:color w:val="000000"/>
          <w:spacing w:val="-4"/>
          <w:sz w:val="24"/>
          <w:szCs w:val="24"/>
        </w:rPr>
        <w:t>～</w:t>
      </w:r>
      <w:r>
        <w:rPr>
          <w:rFonts w:ascii="Times New Roman" w:hAnsi="Times New Roman" w:eastAsia="Times New Roman" w:cs="Times New Roman"/>
          <w:color w:val="000000"/>
          <w:spacing w:val="-2"/>
          <w:sz w:val="24"/>
          <w:szCs w:val="24"/>
        </w:rPr>
        <w:t>3.0kg</w:t>
      </w:r>
      <w:r>
        <w:rPr>
          <w:rFonts w:ascii="宋体" w:hAnsi="宋体" w:eastAsia="宋体" w:cs="宋体"/>
          <w:color w:val="000000"/>
          <w:spacing w:val="-3"/>
          <w:sz w:val="24"/>
          <w:szCs w:val="24"/>
        </w:rPr>
        <w:t>。</w:t>
      </w:r>
    </w:p>
    <w:p w14:paraId="554F63D3">
      <w:pPr>
        <w:bidi w:val="0"/>
        <w:rPr>
          <w:sz w:val="24"/>
          <w:szCs w:val="24"/>
        </w:rPr>
      </w:pPr>
      <w:r>
        <w:rPr>
          <w:rFonts w:ascii="宋体" w:hAnsi="宋体" w:eastAsia="宋体" w:cs="宋体"/>
          <w:color w:val="000000"/>
          <w:sz w:val="24"/>
          <w:szCs w:val="24"/>
        </w:rPr>
        <w:t>烧结过程产生的</w:t>
      </w:r>
      <w:r>
        <w:rPr>
          <w:rFonts w:ascii="Times New Roman" w:hAnsi="Times New Roman" w:eastAsia="Times New Roman" w:cs="Times New Roman"/>
          <w:color w:val="000000"/>
          <w:sz w:val="24"/>
          <w:szCs w:val="24"/>
        </w:rPr>
        <w:t>NOx</w:t>
      </w:r>
      <w:r>
        <w:rPr>
          <w:rFonts w:ascii="宋体" w:hAnsi="宋体" w:eastAsia="宋体" w:cs="宋体"/>
          <w:color w:val="000000"/>
          <w:sz w:val="24"/>
          <w:szCs w:val="24"/>
        </w:rPr>
        <w:t>主要包括</w:t>
      </w:r>
      <w:r>
        <w:rPr>
          <w:rFonts w:ascii="Times New Roman" w:hAnsi="Times New Roman" w:eastAsia="Times New Roman" w:cs="Times New Roman"/>
          <w:color w:val="000000"/>
          <w:sz w:val="24"/>
          <w:szCs w:val="24"/>
        </w:rPr>
        <w:t>NO</w:t>
      </w:r>
      <w:r>
        <w:rPr>
          <w:rFonts w:ascii="宋体" w:hAnsi="宋体" w:eastAsia="宋体" w:cs="宋体"/>
          <w:color w:val="000000"/>
          <w:sz w:val="24"/>
          <w:szCs w:val="24"/>
        </w:rPr>
        <w:t>和</w:t>
      </w:r>
      <w:r>
        <w:rPr>
          <w:rFonts w:ascii="Times New Roman" w:hAnsi="Times New Roman" w:eastAsia="Times New Roman" w:cs="Times New Roman"/>
          <w:color w:val="000000"/>
          <w:sz w:val="24"/>
          <w:szCs w:val="24"/>
        </w:rPr>
        <w:t>NO</w:t>
      </w:r>
      <w:r>
        <w:rPr>
          <w:rFonts w:ascii="Times New Roman" w:hAnsi="Times New Roman" w:eastAsia="Times New Roman" w:cs="Times New Roman"/>
          <w:color w:val="000000"/>
          <w:sz w:val="24"/>
          <w:szCs w:val="24"/>
          <w:vertAlign w:val="subscript"/>
        </w:rPr>
        <w:t>2</w:t>
      </w:r>
      <w:r>
        <w:rPr>
          <w:rFonts w:ascii="宋体" w:hAnsi="宋体" w:eastAsia="宋体" w:cs="宋体"/>
          <w:color w:val="000000"/>
          <w:sz w:val="24"/>
          <w:szCs w:val="24"/>
        </w:rPr>
        <w:t>，</w:t>
      </w:r>
      <w:r>
        <w:rPr>
          <w:rFonts w:ascii="Times New Roman" w:hAnsi="Times New Roman" w:eastAsia="Times New Roman" w:cs="Times New Roman"/>
          <w:color w:val="000000"/>
          <w:sz w:val="24"/>
          <w:szCs w:val="24"/>
        </w:rPr>
        <w:t>90%</w:t>
      </w:r>
      <w:r>
        <w:rPr>
          <w:rFonts w:ascii="宋体" w:hAnsi="宋体" w:eastAsia="宋体" w:cs="宋体"/>
          <w:color w:val="000000"/>
          <w:sz w:val="24"/>
          <w:szCs w:val="24"/>
        </w:rPr>
        <w:t>以上为</w:t>
      </w:r>
      <w:r>
        <w:rPr>
          <w:rFonts w:ascii="Times New Roman" w:hAnsi="Times New Roman" w:eastAsia="Times New Roman" w:cs="Times New Roman"/>
          <w:color w:val="000000"/>
          <w:sz w:val="24"/>
          <w:szCs w:val="24"/>
        </w:rPr>
        <w:t>NO</w:t>
      </w:r>
      <w:r>
        <w:rPr>
          <w:rFonts w:ascii="宋体" w:hAnsi="宋体" w:eastAsia="宋体" w:cs="宋体"/>
          <w:color w:val="000000"/>
          <w:sz w:val="24"/>
          <w:szCs w:val="24"/>
        </w:rPr>
        <w:t>，</w:t>
      </w:r>
      <w:r>
        <w:rPr>
          <w:rFonts w:ascii="Times New Roman" w:hAnsi="Times New Roman" w:eastAsia="Times New Roman" w:cs="Times New Roman"/>
          <w:color w:val="000000"/>
          <w:sz w:val="24"/>
          <w:szCs w:val="24"/>
        </w:rPr>
        <w:t>5%</w:t>
      </w:r>
      <w:r>
        <w:rPr>
          <w:rFonts w:ascii="宋体" w:hAnsi="宋体" w:eastAsia="宋体" w:cs="宋体"/>
          <w:color w:val="000000"/>
          <w:sz w:val="24"/>
          <w:szCs w:val="24"/>
        </w:rPr>
        <w:t>～</w:t>
      </w:r>
      <w:r>
        <w:rPr>
          <w:rFonts w:ascii="Times New Roman" w:hAnsi="Times New Roman" w:eastAsia="Times New Roman" w:cs="Times New Roman"/>
          <w:color w:val="000000"/>
          <w:sz w:val="24"/>
          <w:szCs w:val="24"/>
        </w:rPr>
        <w:t>10%</w:t>
      </w:r>
      <w:r>
        <w:rPr>
          <w:rFonts w:ascii="宋体" w:hAnsi="宋体" w:eastAsia="宋体" w:cs="宋体"/>
          <w:color w:val="000000"/>
          <w:sz w:val="24"/>
          <w:szCs w:val="24"/>
        </w:rPr>
        <w:t>为</w:t>
      </w:r>
      <w:r>
        <w:rPr>
          <w:rFonts w:ascii="Times New Roman" w:hAnsi="Times New Roman" w:eastAsia="Times New Roman" w:cs="Times New Roman"/>
          <w:color w:val="000000"/>
          <w:sz w:val="24"/>
          <w:szCs w:val="24"/>
        </w:rPr>
        <w:t>NO</w:t>
      </w:r>
      <w:r>
        <w:rPr>
          <w:rFonts w:ascii="Times New Roman" w:hAnsi="Times New Roman" w:eastAsia="Times New Roman" w:cs="Times New Roman"/>
          <w:color w:val="000000"/>
          <w:sz w:val="24"/>
          <w:szCs w:val="24"/>
          <w:vertAlign w:val="subscript"/>
        </w:rPr>
        <w:t>2</w:t>
      </w:r>
      <w:r>
        <w:rPr>
          <w:rFonts w:ascii="宋体" w:hAnsi="宋体" w:eastAsia="宋体" w:cs="宋体"/>
          <w:color w:val="000000"/>
          <w:sz w:val="24"/>
          <w:szCs w:val="24"/>
        </w:rPr>
        <w:t>，还有微量</w:t>
      </w:r>
      <w:r>
        <w:rPr>
          <w:rFonts w:ascii="Times New Roman" w:hAnsi="Times New Roman" w:eastAsia="Times New Roman" w:cs="Times New Roman"/>
          <w:color w:val="000000"/>
          <w:spacing w:val="1"/>
          <w:sz w:val="24"/>
          <w:szCs w:val="24"/>
        </w:rPr>
        <w:t>N</w:t>
      </w:r>
      <w:r>
        <w:rPr>
          <w:rFonts w:ascii="Times New Roman" w:hAnsi="Times New Roman" w:eastAsia="Times New Roman" w:cs="Times New Roman"/>
          <w:color w:val="000000"/>
          <w:spacing w:val="1"/>
          <w:sz w:val="24"/>
          <w:szCs w:val="24"/>
          <w:vertAlign w:val="subscript"/>
        </w:rPr>
        <w:t>2</w:t>
      </w:r>
      <w:r>
        <w:rPr>
          <w:rFonts w:ascii="Times New Roman" w:hAnsi="Times New Roman" w:eastAsia="Times New Roman" w:cs="Times New Roman"/>
          <w:color w:val="000000"/>
          <w:spacing w:val="1"/>
          <w:sz w:val="24"/>
          <w:szCs w:val="24"/>
        </w:rPr>
        <w:t>O</w:t>
      </w:r>
      <w:r>
        <w:rPr>
          <w:rFonts w:ascii="宋体" w:hAnsi="宋体" w:eastAsia="宋体" w:cs="宋体"/>
          <w:color w:val="000000"/>
          <w:spacing w:val="3"/>
          <w:sz w:val="24"/>
          <w:szCs w:val="24"/>
        </w:rPr>
        <w:t>。</w:t>
      </w:r>
      <w:r>
        <w:rPr>
          <w:rFonts w:ascii="Times New Roman" w:hAnsi="Times New Roman" w:eastAsia="Times New Roman" w:cs="Times New Roman"/>
          <w:color w:val="000000"/>
          <w:spacing w:val="1"/>
          <w:sz w:val="24"/>
          <w:szCs w:val="24"/>
        </w:rPr>
        <w:t>NOx</w:t>
      </w:r>
      <w:r>
        <w:rPr>
          <w:rFonts w:ascii="宋体" w:hAnsi="宋体" w:eastAsia="宋体" w:cs="宋体"/>
          <w:color w:val="000000"/>
          <w:spacing w:val="2"/>
          <w:sz w:val="24"/>
          <w:szCs w:val="24"/>
        </w:rPr>
        <w:t>来源主要有两部分：一是烧结点火阶段，二是固体燃料燃烧和高温反应阶段。</w:t>
      </w:r>
      <w:r>
        <w:rPr>
          <w:rFonts w:ascii="Times New Roman" w:hAnsi="Times New Roman" w:eastAsia="Times New Roman" w:cs="Times New Roman"/>
          <w:color w:val="000000"/>
          <w:spacing w:val="4"/>
          <w:sz w:val="24"/>
          <w:szCs w:val="24"/>
        </w:rPr>
        <w:t>NOx</w:t>
      </w:r>
      <w:r>
        <w:rPr>
          <w:rFonts w:ascii="宋体" w:hAnsi="宋体" w:eastAsia="宋体" w:cs="宋体"/>
          <w:color w:val="000000"/>
          <w:sz w:val="24"/>
          <w:szCs w:val="24"/>
        </w:rPr>
        <w:t>产生途径主要有</w:t>
      </w:r>
      <w:r>
        <w:rPr>
          <w:rFonts w:ascii="Times New Roman" w:hAnsi="Times New Roman" w:eastAsia="Times New Roman" w:cs="Times New Roman"/>
          <w:color w:val="000000"/>
          <w:sz w:val="24"/>
          <w:szCs w:val="24"/>
        </w:rPr>
        <w:t>3</w:t>
      </w:r>
      <w:r>
        <w:rPr>
          <w:rFonts w:ascii="宋体" w:hAnsi="宋体" w:eastAsia="宋体" w:cs="宋体"/>
          <w:color w:val="000000"/>
          <w:sz w:val="24"/>
          <w:szCs w:val="24"/>
        </w:rPr>
        <w:t>种：在燃烧条件下，空气中的</w:t>
      </w:r>
      <w:r>
        <w:rPr>
          <w:rFonts w:ascii="Times New Roman" w:hAnsi="Times New Roman" w:eastAsia="Times New Roman" w:cs="Times New Roman"/>
          <w:color w:val="000000"/>
          <w:sz w:val="24"/>
          <w:szCs w:val="24"/>
        </w:rPr>
        <w:t>N</w:t>
      </w:r>
      <w:r>
        <w:rPr>
          <w:rFonts w:ascii="Times New Roman" w:hAnsi="Times New Roman" w:eastAsia="Times New Roman" w:cs="Times New Roman"/>
          <w:color w:val="000000"/>
          <w:sz w:val="24"/>
          <w:szCs w:val="24"/>
          <w:vertAlign w:val="subscript"/>
        </w:rPr>
        <w:t>2</w:t>
      </w:r>
      <w:r>
        <w:rPr>
          <w:rFonts w:ascii="宋体" w:hAnsi="宋体" w:eastAsia="宋体" w:cs="宋体"/>
          <w:color w:val="000000"/>
          <w:sz w:val="24"/>
          <w:szCs w:val="24"/>
        </w:rPr>
        <w:t>和</w:t>
      </w:r>
      <w:r>
        <w:rPr>
          <w:rFonts w:ascii="Times New Roman" w:hAnsi="Times New Roman" w:eastAsia="Times New Roman" w:cs="Times New Roman"/>
          <w:color w:val="000000"/>
          <w:sz w:val="24"/>
          <w:szCs w:val="24"/>
        </w:rPr>
        <w:t>O</w:t>
      </w:r>
      <w:r>
        <w:rPr>
          <w:rFonts w:ascii="Times New Roman" w:hAnsi="Times New Roman" w:eastAsia="Times New Roman" w:cs="Times New Roman"/>
          <w:color w:val="000000"/>
          <w:sz w:val="24"/>
          <w:szCs w:val="24"/>
          <w:vertAlign w:val="subscript"/>
        </w:rPr>
        <w:t>2</w:t>
      </w:r>
      <w:r>
        <w:rPr>
          <w:rFonts w:ascii="宋体" w:hAnsi="宋体" w:eastAsia="宋体" w:cs="宋体"/>
          <w:color w:val="000000"/>
          <w:sz w:val="24"/>
          <w:szCs w:val="24"/>
        </w:rPr>
        <w:t>反应生成热力型</w:t>
      </w:r>
      <w:r>
        <w:rPr>
          <w:rFonts w:ascii="Times New Roman" w:hAnsi="Times New Roman" w:eastAsia="Times New Roman" w:cs="Times New Roman"/>
          <w:color w:val="000000"/>
          <w:sz w:val="24"/>
          <w:szCs w:val="24"/>
        </w:rPr>
        <w:t>NOx</w:t>
      </w:r>
      <w:r>
        <w:rPr>
          <w:rFonts w:ascii="宋体" w:hAnsi="宋体" w:eastAsia="宋体" w:cs="宋体"/>
          <w:color w:val="000000"/>
          <w:sz w:val="24"/>
          <w:szCs w:val="24"/>
        </w:rPr>
        <w:t>；燃烧过程中，</w:t>
      </w:r>
      <w:r>
        <w:rPr>
          <w:rFonts w:ascii="宋体" w:hAnsi="宋体" w:eastAsia="宋体" w:cs="宋体"/>
          <w:color w:val="000000"/>
          <w:spacing w:val="-8"/>
          <w:sz w:val="24"/>
          <w:szCs w:val="24"/>
        </w:rPr>
        <w:t>空气中的</w:t>
      </w:r>
      <w:r>
        <w:rPr>
          <w:rFonts w:ascii="Times New Roman" w:hAnsi="Times New Roman" w:eastAsia="Times New Roman" w:cs="Times New Roman"/>
          <w:color w:val="000000"/>
          <w:spacing w:val="-4"/>
          <w:sz w:val="24"/>
          <w:szCs w:val="24"/>
        </w:rPr>
        <w:t>N</w:t>
      </w:r>
      <w:r>
        <w:rPr>
          <w:rFonts w:ascii="Times New Roman" w:hAnsi="Times New Roman" w:eastAsia="Times New Roman" w:cs="Times New Roman"/>
          <w:color w:val="000000"/>
          <w:spacing w:val="-2"/>
          <w:sz w:val="24"/>
          <w:szCs w:val="24"/>
          <w:vertAlign w:val="subscript"/>
        </w:rPr>
        <w:t>2</w:t>
      </w:r>
      <w:r>
        <w:rPr>
          <w:rFonts w:ascii="宋体" w:hAnsi="宋体" w:eastAsia="宋体" w:cs="宋体"/>
          <w:color w:val="000000"/>
          <w:spacing w:val="-8"/>
          <w:sz w:val="24"/>
          <w:szCs w:val="24"/>
        </w:rPr>
        <w:t>和燃料</w:t>
      </w:r>
      <w:r>
        <w:rPr>
          <w:rFonts w:ascii="宋体" w:hAnsi="宋体" w:eastAsia="宋体" w:cs="宋体"/>
          <w:color w:val="000000"/>
          <w:spacing w:val="-7"/>
          <w:sz w:val="24"/>
          <w:szCs w:val="24"/>
        </w:rPr>
        <w:t>中的碳氢基团反应生成的</w:t>
      </w:r>
      <w:r>
        <w:rPr>
          <w:rFonts w:ascii="Times New Roman" w:hAnsi="Times New Roman" w:eastAsia="Times New Roman" w:cs="Times New Roman"/>
          <w:color w:val="000000"/>
          <w:spacing w:val="-7"/>
          <w:sz w:val="24"/>
          <w:szCs w:val="24"/>
        </w:rPr>
        <w:t>HCN</w:t>
      </w:r>
      <w:r>
        <w:rPr>
          <w:rFonts w:ascii="宋体" w:hAnsi="宋体" w:eastAsia="宋体" w:cs="宋体"/>
          <w:color w:val="000000"/>
          <w:spacing w:val="-8"/>
          <w:sz w:val="24"/>
          <w:szCs w:val="24"/>
        </w:rPr>
        <w:t>、</w:t>
      </w:r>
      <w:r>
        <w:rPr>
          <w:rFonts w:ascii="Times New Roman" w:hAnsi="Times New Roman" w:eastAsia="Times New Roman" w:cs="Times New Roman"/>
          <w:color w:val="000000"/>
          <w:spacing w:val="-5"/>
          <w:sz w:val="24"/>
          <w:szCs w:val="24"/>
        </w:rPr>
        <w:t>CN</w:t>
      </w:r>
      <w:r>
        <w:rPr>
          <w:rFonts w:ascii="宋体" w:hAnsi="宋体" w:eastAsia="宋体" w:cs="宋体"/>
          <w:color w:val="000000"/>
          <w:spacing w:val="-8"/>
          <w:sz w:val="24"/>
          <w:szCs w:val="24"/>
        </w:rPr>
        <w:t>等</w:t>
      </w:r>
      <w:r>
        <w:rPr>
          <w:rFonts w:ascii="Times New Roman" w:hAnsi="Times New Roman" w:eastAsia="Times New Roman" w:cs="Times New Roman"/>
          <w:color w:val="000000"/>
          <w:spacing w:val="-5"/>
          <w:sz w:val="24"/>
          <w:szCs w:val="24"/>
        </w:rPr>
        <w:t>NO</w:t>
      </w:r>
      <w:r>
        <w:rPr>
          <w:rFonts w:ascii="宋体" w:hAnsi="宋体" w:eastAsia="宋体" w:cs="宋体"/>
          <w:color w:val="000000"/>
          <w:spacing w:val="-8"/>
          <w:sz w:val="24"/>
          <w:szCs w:val="24"/>
        </w:rPr>
        <w:t>前驱物又被进一步氧化成为</w:t>
      </w:r>
      <w:r>
        <w:rPr>
          <w:rFonts w:ascii="Times New Roman" w:hAnsi="Times New Roman" w:eastAsia="Times New Roman" w:cs="Times New Roman"/>
          <w:color w:val="000000"/>
          <w:spacing w:val="-3"/>
          <w:sz w:val="24"/>
          <w:szCs w:val="24"/>
        </w:rPr>
        <w:t>NOx</w:t>
      </w:r>
      <w:r>
        <w:rPr>
          <w:rFonts w:ascii="宋体" w:hAnsi="宋体" w:eastAsia="宋体" w:cs="宋体"/>
          <w:color w:val="000000"/>
          <w:spacing w:val="-9"/>
          <w:sz w:val="24"/>
          <w:szCs w:val="24"/>
        </w:rPr>
        <w:t>，</w:t>
      </w:r>
      <w:r>
        <w:rPr>
          <w:rFonts w:ascii="宋体" w:hAnsi="宋体" w:eastAsia="宋体" w:cs="宋体"/>
          <w:color w:val="000000"/>
          <w:spacing w:val="-6"/>
          <w:sz w:val="24"/>
          <w:szCs w:val="24"/>
        </w:rPr>
        <w:t>为快速型</w:t>
      </w:r>
      <w:r>
        <w:rPr>
          <w:rFonts w:ascii="Times New Roman" w:hAnsi="Times New Roman" w:eastAsia="Times New Roman" w:cs="Times New Roman"/>
          <w:color w:val="000000"/>
          <w:spacing w:val="-4"/>
          <w:sz w:val="24"/>
          <w:szCs w:val="24"/>
        </w:rPr>
        <w:t>NOx</w:t>
      </w:r>
      <w:r>
        <w:rPr>
          <w:rFonts w:ascii="宋体" w:hAnsi="宋体" w:eastAsia="宋体" w:cs="宋体"/>
          <w:color w:val="000000"/>
          <w:spacing w:val="-6"/>
          <w:sz w:val="24"/>
          <w:szCs w:val="24"/>
        </w:rPr>
        <w:t>；燃料中的氮在燃烧过程中被氧化成为燃料型</w:t>
      </w:r>
      <w:r>
        <w:rPr>
          <w:rFonts w:ascii="Times New Roman" w:hAnsi="Times New Roman" w:eastAsia="Times New Roman" w:cs="Times New Roman"/>
          <w:color w:val="000000"/>
          <w:spacing w:val="-5"/>
          <w:sz w:val="24"/>
          <w:szCs w:val="24"/>
        </w:rPr>
        <w:t>NOx</w:t>
      </w:r>
      <w:r>
        <w:rPr>
          <w:rFonts w:ascii="宋体" w:hAnsi="宋体" w:eastAsia="宋体" w:cs="宋体"/>
          <w:color w:val="000000"/>
          <w:spacing w:val="-6"/>
          <w:sz w:val="24"/>
          <w:szCs w:val="24"/>
        </w:rPr>
        <w:t>。低于</w:t>
      </w:r>
      <w:r>
        <w:rPr>
          <w:rFonts w:ascii="Times New Roman" w:hAnsi="Times New Roman" w:eastAsia="Times New Roman" w:cs="Times New Roman"/>
          <w:color w:val="000000"/>
          <w:spacing w:val="-4"/>
          <w:sz w:val="24"/>
          <w:szCs w:val="24"/>
        </w:rPr>
        <w:t>1500℃</w:t>
      </w:r>
      <w:r>
        <w:rPr>
          <w:rFonts w:ascii="宋体" w:hAnsi="宋体" w:eastAsia="宋体" w:cs="宋体"/>
          <w:color w:val="000000"/>
          <w:spacing w:val="-6"/>
          <w:sz w:val="24"/>
          <w:szCs w:val="24"/>
        </w:rPr>
        <w:t>时，热力型</w:t>
      </w:r>
      <w:r>
        <w:rPr>
          <w:rFonts w:ascii="Times New Roman" w:hAnsi="Times New Roman" w:eastAsia="Times New Roman" w:cs="Times New Roman"/>
          <w:color w:val="000000"/>
          <w:spacing w:val="-4"/>
          <w:sz w:val="24"/>
          <w:szCs w:val="24"/>
        </w:rPr>
        <w:t>NOx</w:t>
      </w:r>
      <w:r>
        <w:rPr>
          <w:rFonts w:ascii="宋体" w:hAnsi="宋体" w:eastAsia="宋体" w:cs="宋体"/>
          <w:color w:val="000000"/>
          <w:sz w:val="24"/>
          <w:szCs w:val="24"/>
        </w:rPr>
        <w:t>的生成量很少；高于</w:t>
      </w:r>
      <w:r>
        <w:rPr>
          <w:rFonts w:ascii="Times New Roman" w:hAnsi="Times New Roman" w:eastAsia="Times New Roman" w:cs="Times New Roman"/>
          <w:color w:val="000000"/>
          <w:sz w:val="24"/>
          <w:szCs w:val="24"/>
        </w:rPr>
        <w:t>1500℃</w:t>
      </w:r>
      <w:r>
        <w:rPr>
          <w:rFonts w:ascii="宋体" w:hAnsi="宋体" w:eastAsia="宋体" w:cs="宋体"/>
          <w:color w:val="000000"/>
          <w:sz w:val="24"/>
          <w:szCs w:val="24"/>
        </w:rPr>
        <w:t>时，随着反应温度升高，其生成速率按指数规律增加，生成量明显</w:t>
      </w:r>
      <w:r>
        <w:rPr>
          <w:rFonts w:ascii="宋体" w:hAnsi="宋体" w:eastAsia="宋体" w:cs="宋体"/>
          <w:color w:val="000000"/>
          <w:spacing w:val="-3"/>
          <w:sz w:val="24"/>
          <w:szCs w:val="24"/>
        </w:rPr>
        <w:t>升高，</w:t>
      </w:r>
      <w:r>
        <w:rPr>
          <w:rFonts w:ascii="宋体" w:hAnsi="宋体" w:eastAsia="宋体" w:cs="宋体"/>
          <w:color w:val="000000"/>
          <w:spacing w:val="-4"/>
          <w:sz w:val="24"/>
          <w:szCs w:val="24"/>
        </w:rPr>
        <w:t>已有研究表明，烧结过程产生的</w:t>
      </w:r>
      <w:r>
        <w:rPr>
          <w:rFonts w:ascii="Times New Roman" w:hAnsi="Times New Roman" w:eastAsia="Times New Roman" w:cs="Times New Roman"/>
          <w:color w:val="000000"/>
          <w:sz w:val="24"/>
          <w:szCs w:val="24"/>
        </w:rPr>
        <w:t>NOx</w:t>
      </w:r>
      <w:r>
        <w:rPr>
          <w:rFonts w:ascii="宋体" w:hAnsi="宋体" w:eastAsia="宋体" w:cs="宋体"/>
          <w:color w:val="000000"/>
          <w:spacing w:val="-4"/>
          <w:sz w:val="24"/>
          <w:szCs w:val="24"/>
        </w:rPr>
        <w:t>有</w:t>
      </w:r>
      <w:r>
        <w:rPr>
          <w:rFonts w:ascii="Times New Roman" w:hAnsi="Times New Roman" w:eastAsia="Times New Roman" w:cs="Times New Roman"/>
          <w:color w:val="000000"/>
          <w:spacing w:val="-2"/>
          <w:sz w:val="24"/>
          <w:szCs w:val="24"/>
        </w:rPr>
        <w:t>80%</w:t>
      </w:r>
      <w:r>
        <w:rPr>
          <w:rFonts w:ascii="宋体" w:hAnsi="宋体" w:eastAsia="宋体" w:cs="宋体"/>
          <w:color w:val="000000"/>
          <w:spacing w:val="-4"/>
          <w:sz w:val="24"/>
          <w:szCs w:val="24"/>
        </w:rPr>
        <w:t>～</w:t>
      </w:r>
      <w:r>
        <w:rPr>
          <w:rFonts w:ascii="Times New Roman" w:hAnsi="Times New Roman" w:eastAsia="Times New Roman" w:cs="Times New Roman"/>
          <w:color w:val="000000"/>
          <w:spacing w:val="-2"/>
          <w:sz w:val="24"/>
          <w:szCs w:val="24"/>
        </w:rPr>
        <w:t>90%</w:t>
      </w:r>
      <w:r>
        <w:rPr>
          <w:rFonts w:ascii="宋体" w:hAnsi="宋体" w:eastAsia="宋体" w:cs="宋体"/>
          <w:color w:val="000000"/>
          <w:spacing w:val="-4"/>
          <w:sz w:val="24"/>
          <w:szCs w:val="24"/>
        </w:rPr>
        <w:t>来源于燃料中的氮为燃料型</w:t>
      </w:r>
      <w:r>
        <w:rPr>
          <w:rFonts w:ascii="Times New Roman" w:hAnsi="Times New Roman" w:eastAsia="Times New Roman" w:cs="Times New Roman"/>
          <w:color w:val="000000"/>
          <w:sz w:val="24"/>
          <w:szCs w:val="24"/>
        </w:rPr>
        <w:t>NOx</w:t>
      </w:r>
      <w:r>
        <w:rPr>
          <w:rFonts w:ascii="宋体" w:hAnsi="宋体" w:eastAsia="宋体" w:cs="宋体"/>
          <w:color w:val="000000"/>
          <w:spacing w:val="-4"/>
          <w:sz w:val="24"/>
          <w:szCs w:val="24"/>
        </w:rPr>
        <w:t>，热</w:t>
      </w:r>
      <w:r>
        <w:rPr>
          <w:rFonts w:ascii="宋体" w:hAnsi="宋体" w:eastAsia="宋体" w:cs="宋体"/>
          <w:color w:val="000000"/>
          <w:spacing w:val="-3"/>
          <w:sz w:val="24"/>
          <w:szCs w:val="24"/>
        </w:rPr>
        <w:t>力型和快速型</w:t>
      </w:r>
      <w:r>
        <w:rPr>
          <w:rFonts w:ascii="Times New Roman" w:hAnsi="Times New Roman" w:eastAsia="Times New Roman" w:cs="Times New Roman"/>
          <w:color w:val="000000"/>
          <w:spacing w:val="-2"/>
          <w:sz w:val="24"/>
          <w:szCs w:val="24"/>
        </w:rPr>
        <w:t>NOx</w:t>
      </w:r>
      <w:r>
        <w:rPr>
          <w:rFonts w:ascii="宋体" w:hAnsi="宋体" w:eastAsia="宋体" w:cs="宋体"/>
          <w:color w:val="000000"/>
          <w:spacing w:val="-3"/>
          <w:sz w:val="24"/>
          <w:szCs w:val="24"/>
        </w:rPr>
        <w:t>生成量很少。烧结燃烧温度较燃煤电站锅炉低，为</w:t>
      </w:r>
      <w:r>
        <w:rPr>
          <w:rFonts w:ascii="Times New Roman" w:hAnsi="Times New Roman" w:eastAsia="Times New Roman" w:cs="Times New Roman"/>
          <w:color w:val="000000"/>
          <w:spacing w:val="-3"/>
          <w:sz w:val="24"/>
          <w:szCs w:val="24"/>
        </w:rPr>
        <w:t>1200℃</w:t>
      </w:r>
      <w:r>
        <w:rPr>
          <w:rFonts w:ascii="宋体" w:hAnsi="宋体" w:eastAsia="宋体" w:cs="宋体"/>
          <w:color w:val="000000"/>
          <w:spacing w:val="-2"/>
          <w:sz w:val="24"/>
          <w:szCs w:val="24"/>
        </w:rPr>
        <w:t>～</w:t>
      </w:r>
      <w:r>
        <w:rPr>
          <w:rFonts w:ascii="Times New Roman" w:hAnsi="Times New Roman" w:eastAsia="Times New Roman" w:cs="Times New Roman"/>
          <w:color w:val="000000"/>
          <w:spacing w:val="-2"/>
          <w:sz w:val="24"/>
          <w:szCs w:val="24"/>
        </w:rPr>
        <w:t>1400℃</w:t>
      </w:r>
      <w:r>
        <w:rPr>
          <w:rFonts w:ascii="宋体" w:hAnsi="宋体" w:eastAsia="宋体" w:cs="宋体"/>
          <w:color w:val="000000"/>
          <w:spacing w:val="-3"/>
          <w:sz w:val="24"/>
          <w:szCs w:val="24"/>
        </w:rPr>
        <w:t>，这是烧</w:t>
      </w:r>
      <w:r>
        <w:rPr>
          <w:rFonts w:ascii="宋体" w:hAnsi="宋体" w:eastAsia="宋体" w:cs="宋体"/>
          <w:color w:val="000000"/>
          <w:sz w:val="24"/>
          <w:szCs w:val="24"/>
        </w:rPr>
        <w:t>结烟气</w:t>
      </w:r>
      <w:r>
        <w:rPr>
          <w:rFonts w:ascii="Times New Roman" w:hAnsi="Times New Roman" w:eastAsia="Times New Roman" w:cs="Times New Roman"/>
          <w:color w:val="000000"/>
          <w:sz w:val="24"/>
          <w:szCs w:val="24"/>
        </w:rPr>
        <w:t>NOx</w:t>
      </w:r>
      <w:r>
        <w:rPr>
          <w:rFonts w:ascii="宋体" w:hAnsi="宋体" w:eastAsia="宋体" w:cs="宋体"/>
          <w:color w:val="000000"/>
          <w:sz w:val="24"/>
          <w:szCs w:val="24"/>
        </w:rPr>
        <w:t>浓度低于燃煤电站烟气的主要原因。燃料中氮的热分解温度低于煤粉燃烧温度，在</w:t>
      </w:r>
      <w:r>
        <w:rPr>
          <w:rFonts w:ascii="Times New Roman" w:hAnsi="Times New Roman" w:eastAsia="Times New Roman" w:cs="Times New Roman"/>
          <w:color w:val="000000"/>
          <w:sz w:val="24"/>
          <w:szCs w:val="24"/>
        </w:rPr>
        <w:t>600</w:t>
      </w:r>
      <w:r>
        <w:rPr>
          <w:rFonts w:ascii="宋体" w:hAnsi="宋体" w:eastAsia="宋体" w:cs="宋体"/>
          <w:color w:val="000000"/>
          <w:sz w:val="24"/>
          <w:szCs w:val="24"/>
        </w:rPr>
        <w:t>～</w:t>
      </w:r>
      <w:r>
        <w:rPr>
          <w:rFonts w:ascii="Times New Roman" w:hAnsi="Times New Roman" w:eastAsia="Times New Roman" w:cs="Times New Roman"/>
          <w:color w:val="000000"/>
          <w:sz w:val="24"/>
          <w:szCs w:val="24"/>
        </w:rPr>
        <w:t>800℃</w:t>
      </w:r>
      <w:r>
        <w:rPr>
          <w:rFonts w:ascii="宋体" w:hAnsi="宋体" w:eastAsia="宋体" w:cs="宋体"/>
          <w:color w:val="000000"/>
          <w:sz w:val="24"/>
          <w:szCs w:val="24"/>
        </w:rPr>
        <w:t>时生成燃料型</w:t>
      </w:r>
      <w:r>
        <w:rPr>
          <w:rFonts w:ascii="Times New Roman" w:hAnsi="Times New Roman" w:eastAsia="Times New Roman" w:cs="Times New Roman"/>
          <w:color w:val="000000"/>
          <w:sz w:val="24"/>
          <w:szCs w:val="24"/>
        </w:rPr>
        <w:t>NOx</w:t>
      </w:r>
      <w:r>
        <w:rPr>
          <w:rFonts w:ascii="宋体" w:hAnsi="宋体" w:eastAsia="宋体" w:cs="宋体"/>
          <w:color w:val="000000"/>
          <w:sz w:val="24"/>
          <w:szCs w:val="24"/>
        </w:rPr>
        <w:t>。</w:t>
      </w:r>
      <w:r>
        <w:rPr>
          <w:rFonts w:ascii="Times New Roman" w:hAnsi="Times New Roman" w:eastAsia="Times New Roman" w:cs="Times New Roman"/>
          <w:color w:val="000000"/>
          <w:sz w:val="24"/>
          <w:szCs w:val="24"/>
        </w:rPr>
        <w:t>NOx</w:t>
      </w:r>
      <w:r>
        <w:rPr>
          <w:rFonts w:ascii="宋体" w:hAnsi="宋体" w:eastAsia="宋体" w:cs="宋体"/>
          <w:color w:val="000000"/>
          <w:sz w:val="24"/>
          <w:szCs w:val="24"/>
        </w:rPr>
        <w:t>生成量受到燃料氮含量、氮的存在形态、燃料粒度、空气过剩系数、烧结混合料中金属氧化物等成分的影响。生产</w:t>
      </w:r>
      <w:r>
        <w:rPr>
          <w:rFonts w:ascii="Times New Roman" w:hAnsi="Times New Roman" w:eastAsia="Times New Roman" w:cs="Times New Roman"/>
          <w:color w:val="000000"/>
          <w:sz w:val="24"/>
          <w:szCs w:val="24"/>
        </w:rPr>
        <w:t>1t</w:t>
      </w:r>
      <w:r>
        <w:rPr>
          <w:rFonts w:ascii="宋体" w:hAnsi="宋体" w:eastAsia="宋体" w:cs="宋体"/>
          <w:color w:val="000000"/>
          <w:sz w:val="24"/>
          <w:szCs w:val="24"/>
        </w:rPr>
        <w:t>烧结矿产生</w:t>
      </w:r>
      <w:r>
        <w:rPr>
          <w:rFonts w:ascii="Times New Roman" w:hAnsi="Times New Roman" w:eastAsia="Times New Roman" w:cs="Times New Roman"/>
          <w:color w:val="000000"/>
          <w:sz w:val="24"/>
          <w:szCs w:val="24"/>
        </w:rPr>
        <w:t>NOx</w:t>
      </w:r>
      <w:r>
        <w:rPr>
          <w:rFonts w:ascii="宋体" w:hAnsi="宋体" w:eastAsia="宋体" w:cs="宋体"/>
          <w:color w:val="000000"/>
          <w:sz w:val="24"/>
          <w:szCs w:val="24"/>
        </w:rPr>
        <w:t>约</w:t>
      </w:r>
      <w:r>
        <w:rPr>
          <w:rFonts w:ascii="Times New Roman" w:hAnsi="Times New Roman" w:eastAsia="Times New Roman" w:cs="Times New Roman"/>
          <w:color w:val="000000"/>
          <w:sz w:val="24"/>
          <w:szCs w:val="24"/>
        </w:rPr>
        <w:t>0.4</w:t>
      </w:r>
      <w:r>
        <w:rPr>
          <w:rFonts w:ascii="宋体" w:hAnsi="宋体" w:eastAsia="宋体" w:cs="宋体"/>
          <w:color w:val="000000"/>
          <w:sz w:val="24"/>
          <w:szCs w:val="24"/>
        </w:rPr>
        <w:t>～</w:t>
      </w:r>
      <w:r>
        <w:rPr>
          <w:rFonts w:ascii="Times New Roman" w:hAnsi="Times New Roman" w:eastAsia="Times New Roman" w:cs="Times New Roman"/>
          <w:color w:val="000000"/>
          <w:sz w:val="24"/>
          <w:szCs w:val="24"/>
        </w:rPr>
        <w:t>0.65kg</w:t>
      </w:r>
      <w:r>
        <w:rPr>
          <w:rFonts w:ascii="宋体" w:hAnsi="宋体" w:eastAsia="宋体" w:cs="宋体"/>
          <w:color w:val="000000"/>
          <w:sz w:val="24"/>
          <w:szCs w:val="24"/>
        </w:rPr>
        <w:t>，</w:t>
      </w:r>
      <w:r>
        <w:rPr>
          <w:rFonts w:ascii="宋体" w:hAnsi="宋体" w:eastAsia="宋体" w:cs="宋体"/>
          <w:color w:val="000000"/>
          <w:spacing w:val="-5"/>
          <w:sz w:val="24"/>
          <w:szCs w:val="24"/>
        </w:rPr>
        <w:t>烧结烟气中</w:t>
      </w:r>
      <w:r>
        <w:rPr>
          <w:rFonts w:ascii="Times New Roman" w:hAnsi="Times New Roman" w:eastAsia="Times New Roman" w:cs="Times New Roman"/>
          <w:color w:val="000000"/>
          <w:spacing w:val="-3"/>
          <w:sz w:val="24"/>
          <w:szCs w:val="24"/>
        </w:rPr>
        <w:t>NOx</w:t>
      </w:r>
      <w:r>
        <w:rPr>
          <w:rFonts w:ascii="宋体" w:hAnsi="宋体" w:eastAsia="宋体" w:cs="宋体"/>
          <w:color w:val="000000"/>
          <w:spacing w:val="-5"/>
          <w:sz w:val="24"/>
          <w:szCs w:val="24"/>
        </w:rPr>
        <w:t>的浓度一般在</w:t>
      </w:r>
      <w:r>
        <w:rPr>
          <w:rFonts w:ascii="Times New Roman" w:hAnsi="Times New Roman" w:eastAsia="Times New Roman" w:cs="Times New Roman"/>
          <w:color w:val="000000"/>
          <w:spacing w:val="-3"/>
          <w:sz w:val="24"/>
          <w:szCs w:val="24"/>
        </w:rPr>
        <w:t>200</w:t>
      </w:r>
      <w:r>
        <w:rPr>
          <w:rFonts w:ascii="宋体" w:hAnsi="宋体" w:eastAsia="宋体" w:cs="宋体"/>
          <w:color w:val="000000"/>
          <w:spacing w:val="-4"/>
          <w:sz w:val="24"/>
          <w:szCs w:val="24"/>
        </w:rPr>
        <w:t>～</w:t>
      </w:r>
      <w:r>
        <w:rPr>
          <w:rFonts w:ascii="Times New Roman" w:hAnsi="Times New Roman" w:eastAsia="Times New Roman" w:cs="Times New Roman"/>
          <w:color w:val="000000"/>
          <w:spacing w:val="-3"/>
          <w:sz w:val="24"/>
          <w:szCs w:val="24"/>
        </w:rPr>
        <w:t>300mg/m</w:t>
      </w:r>
      <w:r>
        <w:rPr>
          <w:rFonts w:ascii="Times New Roman" w:hAnsi="Times New Roman" w:eastAsia="Times New Roman" w:cs="Times New Roman"/>
          <w:color w:val="000000"/>
          <w:sz w:val="24"/>
          <w:szCs w:val="24"/>
          <w:vertAlign w:val="subscript"/>
        </w:rPr>
        <w:t>3</w:t>
      </w:r>
      <w:r>
        <w:rPr>
          <w:rFonts w:ascii="宋体" w:hAnsi="宋体" w:eastAsia="宋体" w:cs="宋体"/>
          <w:color w:val="000000"/>
          <w:spacing w:val="-5"/>
          <w:sz w:val="24"/>
          <w:szCs w:val="24"/>
        </w:rPr>
        <w:t>。</w:t>
      </w:r>
    </w:p>
    <w:p w14:paraId="49B9975A">
      <w:pPr>
        <w:bidi w:val="0"/>
        <w:rPr>
          <w:rFonts w:hint="eastAsia" w:ascii="宋体" w:hAnsi="宋体" w:eastAsia="宋体" w:cs="宋体"/>
          <w:color w:val="000000"/>
          <w:spacing w:val="-2"/>
          <w:sz w:val="21"/>
          <w:szCs w:val="21"/>
        </w:rPr>
      </w:pPr>
      <w:r>
        <w:rPr>
          <w:rFonts w:ascii="宋体" w:hAnsi="宋体" w:eastAsia="宋体" w:cs="宋体"/>
          <w:color w:val="000000"/>
          <w:spacing w:val="-3"/>
          <w:sz w:val="24"/>
          <w:szCs w:val="24"/>
        </w:rPr>
        <w:t>二噁英的产生主要有</w:t>
      </w:r>
      <w:r>
        <w:rPr>
          <w:rFonts w:ascii="Times New Roman" w:hAnsi="Times New Roman" w:eastAsia="Times New Roman" w:cs="Times New Roman"/>
          <w:color w:val="000000"/>
          <w:spacing w:val="-4"/>
          <w:sz w:val="24"/>
          <w:szCs w:val="24"/>
        </w:rPr>
        <w:t>3</w:t>
      </w:r>
      <w:r>
        <w:rPr>
          <w:rFonts w:ascii="宋体" w:hAnsi="宋体" w:eastAsia="宋体" w:cs="宋体"/>
          <w:color w:val="000000"/>
          <w:spacing w:val="-3"/>
          <w:sz w:val="24"/>
          <w:szCs w:val="24"/>
        </w:rPr>
        <w:t>种途径。</w:t>
      </w:r>
      <w:r>
        <w:rPr>
          <w:rFonts w:ascii="宋体" w:hAnsi="宋体" w:eastAsia="宋体" w:cs="宋体"/>
          <w:color w:val="000000"/>
          <w:spacing w:val="-5"/>
          <w:sz w:val="24"/>
          <w:szCs w:val="24"/>
        </w:rPr>
        <w:t>①</w:t>
      </w:r>
      <w:r>
        <w:rPr>
          <w:rFonts w:ascii="宋体" w:hAnsi="宋体" w:eastAsia="宋体" w:cs="宋体"/>
          <w:color w:val="000000"/>
          <w:spacing w:val="-3"/>
          <w:sz w:val="24"/>
          <w:szCs w:val="24"/>
        </w:rPr>
        <w:t>前驱体合成：二噁英的前驱体，如氯酚、氯苯、多氯联苯</w:t>
      </w:r>
      <w:r>
        <w:rPr>
          <w:rFonts w:ascii="宋体" w:hAnsi="宋体" w:eastAsia="宋体" w:cs="宋体"/>
          <w:color w:val="000000"/>
          <w:sz w:val="24"/>
          <w:szCs w:val="24"/>
        </w:rPr>
        <w:t>等，通过氯化反应、缩合反应、氧化反应等生成二噁英。</w:t>
      </w:r>
      <w:r>
        <w:rPr>
          <w:rFonts w:ascii="宋体" w:hAnsi="宋体" w:eastAsia="宋体" w:cs="宋体"/>
          <w:color w:val="000000"/>
          <w:spacing w:val="10"/>
          <w:sz w:val="24"/>
          <w:szCs w:val="24"/>
        </w:rPr>
        <w:t>②</w:t>
      </w:r>
      <w:r>
        <w:rPr>
          <w:rFonts w:ascii="宋体" w:hAnsi="宋体" w:eastAsia="宋体" w:cs="宋体"/>
          <w:color w:val="000000"/>
          <w:sz w:val="24"/>
          <w:szCs w:val="24"/>
        </w:rPr>
        <w:t>从头合成：在</w:t>
      </w:r>
      <w:r>
        <w:rPr>
          <w:rFonts w:ascii="Times New Roman" w:hAnsi="Times New Roman" w:eastAsia="Times New Roman" w:cs="Times New Roman"/>
          <w:color w:val="000000"/>
          <w:spacing w:val="1"/>
          <w:sz w:val="24"/>
          <w:szCs w:val="24"/>
        </w:rPr>
        <w:t>250</w:t>
      </w:r>
      <w:r>
        <w:rPr>
          <w:rFonts w:ascii="宋体" w:hAnsi="宋体" w:eastAsia="宋体" w:cs="宋体"/>
          <w:color w:val="000000"/>
          <w:spacing w:val="1"/>
          <w:sz w:val="24"/>
          <w:szCs w:val="24"/>
        </w:rPr>
        <w:t>～</w:t>
      </w:r>
      <w:r>
        <w:rPr>
          <w:rFonts w:ascii="Times New Roman" w:hAnsi="Times New Roman" w:eastAsia="Times New Roman" w:cs="Times New Roman"/>
          <w:color w:val="000000"/>
          <w:sz w:val="24"/>
          <w:szCs w:val="24"/>
        </w:rPr>
        <w:t>450℃</w:t>
      </w:r>
      <w:r>
        <w:rPr>
          <w:rFonts w:ascii="宋体" w:hAnsi="宋体" w:eastAsia="宋体" w:cs="宋体"/>
          <w:color w:val="000000"/>
          <w:sz w:val="24"/>
          <w:szCs w:val="24"/>
        </w:rPr>
        <w:t>范围，大</w:t>
      </w:r>
      <w:r>
        <w:rPr>
          <w:rFonts w:ascii="宋体" w:hAnsi="宋体" w:eastAsia="宋体" w:cs="宋体"/>
          <w:color w:val="000000"/>
          <w:spacing w:val="-1"/>
          <w:sz w:val="24"/>
          <w:szCs w:val="24"/>
        </w:rPr>
        <w:t>分子</w:t>
      </w:r>
      <w:r>
        <w:rPr>
          <w:rFonts w:ascii="宋体" w:hAnsi="宋体" w:eastAsia="宋体" w:cs="宋体"/>
          <w:color w:val="000000"/>
          <w:sz w:val="24"/>
          <w:szCs w:val="24"/>
        </w:rPr>
        <w:t>碳（残碳）与飞灰基质中的有机氯或无机氯经金属离子（铜、铁等）催化反应生成二噁英。</w:t>
      </w:r>
      <w:r>
        <w:rPr>
          <w:rFonts w:ascii="宋体" w:hAnsi="宋体" w:eastAsia="宋体" w:cs="宋体"/>
          <w:color w:val="000000"/>
          <w:spacing w:val="-2"/>
          <w:sz w:val="24"/>
          <w:szCs w:val="24"/>
        </w:rPr>
        <w:t>燃烧不充</w:t>
      </w:r>
      <w:r>
        <w:rPr>
          <w:rFonts w:ascii="宋体" w:hAnsi="宋体" w:eastAsia="宋体" w:cs="宋体"/>
          <w:color w:val="000000"/>
          <w:spacing w:val="-3"/>
          <w:sz w:val="24"/>
          <w:szCs w:val="24"/>
        </w:rPr>
        <w:t>分时，烟气中会产生过多的未燃尽物质，在</w:t>
      </w:r>
      <w:r>
        <w:rPr>
          <w:rFonts w:ascii="宋体" w:hAnsi="宋体" w:eastAsia="宋体" w:cs="宋体"/>
          <w:color w:val="000000"/>
          <w:spacing w:val="-1"/>
          <w:sz w:val="24"/>
          <w:szCs w:val="24"/>
        </w:rPr>
        <w:t>气体冷却阶段并存在氯源的条件下，遇到合</w:t>
      </w:r>
      <w:r>
        <w:rPr>
          <w:rFonts w:ascii="宋体" w:hAnsi="宋体" w:eastAsia="宋体" w:cs="宋体"/>
          <w:color w:val="000000"/>
          <w:spacing w:val="-2"/>
          <w:sz w:val="24"/>
          <w:szCs w:val="24"/>
        </w:rPr>
        <w:t>适的触媒，高温燃烧中已经分解的二噁英将会重新生成。</w:t>
      </w:r>
      <w:r>
        <w:rPr>
          <w:rFonts w:ascii="宋体" w:hAnsi="宋体" w:eastAsia="宋体" w:cs="宋体"/>
          <w:color w:val="000000"/>
          <w:spacing w:val="-4"/>
          <w:sz w:val="24"/>
          <w:szCs w:val="24"/>
        </w:rPr>
        <w:t>③</w:t>
      </w:r>
      <w:r>
        <w:rPr>
          <w:rFonts w:ascii="宋体" w:hAnsi="宋体" w:eastAsia="宋体" w:cs="宋体"/>
          <w:color w:val="000000"/>
          <w:spacing w:val="-3"/>
          <w:sz w:val="24"/>
          <w:szCs w:val="24"/>
        </w:rPr>
        <w:t>热</w:t>
      </w:r>
      <w:r>
        <w:rPr>
          <w:rFonts w:ascii="宋体" w:hAnsi="宋体" w:eastAsia="宋体" w:cs="宋体"/>
          <w:color w:val="000000"/>
          <w:spacing w:val="-2"/>
          <w:sz w:val="24"/>
          <w:szCs w:val="24"/>
        </w:rPr>
        <w:t>分解反应生成：含有苯环结构的高</w:t>
      </w:r>
      <w:r>
        <w:rPr>
          <w:rFonts w:hint="eastAsia" w:ascii="宋体" w:hAnsi="宋体" w:eastAsia="宋体" w:cs="宋体"/>
          <w:color w:val="000000"/>
          <w:spacing w:val="-2"/>
          <w:sz w:val="24"/>
          <w:szCs w:val="24"/>
        </w:rPr>
        <w:t>分子化合物经加热发生分解而生成二噁英，芳香族物质和多氯联苯在高温下分解可生成大量二噁英。二噁英的生成必须具备4个基本条件：含苯环结构的化合物（热分解产生、碳氢化合物合成或者不完全燃烧生成等）、氯源、催化剂和合适的生成温度，350℃左右为最佳生成温度。烧结具备从头合成反应的大部分条件：存在氯源，氯来源于回收的废铁、炉渣及铁矿中的有机氯成分；碳来源于焦炭、木质素等，是燃烧过程的产物；含有大量可作为催化剂的铜、铁等过渡金属离子；有充足的氧存在；烧结料床中存在250～450℃的温度带。从头合成是烧结过程中二噁英生成的重要途径之一，且生成的二噁英中PCDFs的比例较高。在烧结料层中，焦粉、煤等含碳成分和含铁原料中的含氯载体，在250～450℃和氧化性气氛中，在铜、铁等的催化作用下，在干燥预热带形成二噁英。二噁英在接近烧透点附近的烧结料层中开始浓缩、挥发和凝结，直到烧结物料温度上升至足够高而无法继续凝结后，随废气一同逸散。中国目前公布的钢铁行业二噁英类污染物排放数值，是根据联合国环境规划署提供的《辨别和量化二噁英及呋喃排放标准工具包》确定的。该工具包规定，没有大量循环利用含油废弃物，控制较好的烧结厂大气排放因子为5gTEQ/Mt烧结矿，飞灰残渣排放因子为0.003gTEQ/Mt烧结矿。由于二噁英测试过程较为复杂，中国烧结机烟气二噁英排放浓度的实测报道较少。</w:t>
      </w:r>
    </w:p>
    <w:p w14:paraId="215C832C">
      <w:pPr>
        <w:bidi w:val="0"/>
        <w:rPr>
          <w:rFonts w:hint="default"/>
          <w:b/>
          <w:bCs/>
          <w:lang w:val="en-US" w:eastAsia="zh-CN"/>
        </w:rPr>
      </w:pPr>
      <w:r>
        <w:rPr>
          <w:rFonts w:hint="eastAsia"/>
          <w:b/>
          <w:bCs/>
          <w:lang w:val="en-US" w:eastAsia="zh-CN"/>
        </w:rPr>
        <w:t>（4）污染物控制措施</w:t>
      </w:r>
    </w:p>
    <w:p w14:paraId="3DCA6621">
      <w:pPr>
        <w:bidi w:val="0"/>
        <w:rPr>
          <w:rFonts w:hint="eastAsia"/>
        </w:rPr>
      </w:pPr>
      <w:r>
        <w:rPr>
          <w:rFonts w:hint="eastAsia"/>
        </w:rPr>
        <w:t>烧结工序大气污染物来源及控制措施见表4-</w:t>
      </w:r>
      <w:r>
        <w:rPr>
          <w:rFonts w:hint="eastAsia"/>
          <w:lang w:val="en-US" w:eastAsia="zh-CN"/>
        </w:rPr>
        <w:t>2</w:t>
      </w:r>
      <w:r>
        <w:rPr>
          <w:rFonts w:hint="eastAsia"/>
        </w:rPr>
        <w:t>。</w:t>
      </w:r>
    </w:p>
    <w:p w14:paraId="77D35C20">
      <w:pPr>
        <w:bidi w:val="0"/>
        <w:ind w:left="0" w:leftChars="0" w:firstLine="0" w:firstLineChars="0"/>
        <w:jc w:val="center"/>
        <w:rPr>
          <w:b/>
          <w:bCs/>
        </w:rPr>
      </w:pPr>
      <w:r>
        <w:rPr>
          <w:rFonts w:hint="eastAsia"/>
          <w:b/>
          <w:bCs/>
        </w:rPr>
        <w:t>表</w:t>
      </w:r>
      <w:r>
        <w:rPr>
          <w:rFonts w:hint="eastAsia"/>
          <w:b/>
          <w:bCs/>
          <w:lang w:val="en-US" w:eastAsia="zh-CN"/>
        </w:rPr>
        <w:t>4-2</w:t>
      </w:r>
      <w:r>
        <w:rPr>
          <w:rFonts w:hint="eastAsia"/>
          <w:b/>
          <w:bCs/>
        </w:rPr>
        <w:t>烧结</w:t>
      </w:r>
      <w:r>
        <w:rPr>
          <w:rFonts w:hint="eastAsia"/>
          <w:b/>
          <w:bCs/>
          <w:lang w:val="en-US" w:eastAsia="zh-CN"/>
        </w:rPr>
        <w:t>生产</w:t>
      </w:r>
      <w:r>
        <w:rPr>
          <w:rFonts w:hint="eastAsia"/>
          <w:b/>
          <w:bCs/>
        </w:rPr>
        <w:t>废气排污节点及污染控制一览表</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49"/>
        <w:gridCol w:w="317"/>
        <w:gridCol w:w="911"/>
        <w:gridCol w:w="2811"/>
        <w:gridCol w:w="1596"/>
        <w:gridCol w:w="2476"/>
      </w:tblGrid>
      <w:tr w14:paraId="3CCC2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noWrap w:val="0"/>
            <w:vAlign w:val="center"/>
          </w:tcPr>
          <w:p w14:paraId="2B423260">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序号</w:t>
            </w:r>
          </w:p>
        </w:tc>
        <w:tc>
          <w:tcPr>
            <w:tcW w:w="1228" w:type="dxa"/>
            <w:gridSpan w:val="2"/>
            <w:noWrap w:val="0"/>
            <w:vAlign w:val="center"/>
          </w:tcPr>
          <w:p w14:paraId="6F536E8C">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污染源名称</w:t>
            </w:r>
          </w:p>
        </w:tc>
        <w:tc>
          <w:tcPr>
            <w:tcW w:w="2811" w:type="dxa"/>
            <w:noWrap w:val="0"/>
            <w:vAlign w:val="center"/>
          </w:tcPr>
          <w:p w14:paraId="75ADE556">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排污节点</w:t>
            </w:r>
          </w:p>
        </w:tc>
        <w:tc>
          <w:tcPr>
            <w:tcW w:w="1596" w:type="dxa"/>
            <w:noWrap w:val="0"/>
            <w:vAlign w:val="center"/>
          </w:tcPr>
          <w:p w14:paraId="0D6D2214">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主要污染物</w:t>
            </w:r>
          </w:p>
        </w:tc>
        <w:tc>
          <w:tcPr>
            <w:tcW w:w="2476" w:type="dxa"/>
            <w:noWrap w:val="0"/>
            <w:vAlign w:val="center"/>
          </w:tcPr>
          <w:p w14:paraId="0991A05E">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控制措施</w:t>
            </w:r>
          </w:p>
        </w:tc>
      </w:tr>
      <w:tr w14:paraId="008E0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4" w:hRule="atLeast"/>
          <w:jc w:val="center"/>
        </w:trPr>
        <w:tc>
          <w:tcPr>
            <w:tcW w:w="449" w:type="dxa"/>
            <w:noWrap w:val="0"/>
            <w:vAlign w:val="center"/>
          </w:tcPr>
          <w:p w14:paraId="1A074A47">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1</w:t>
            </w:r>
          </w:p>
        </w:tc>
        <w:tc>
          <w:tcPr>
            <w:tcW w:w="1228" w:type="dxa"/>
            <w:gridSpan w:val="2"/>
            <w:noWrap w:val="0"/>
            <w:vAlign w:val="center"/>
          </w:tcPr>
          <w:p w14:paraId="775E6E4C">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原料堆场</w:t>
            </w:r>
          </w:p>
        </w:tc>
        <w:tc>
          <w:tcPr>
            <w:tcW w:w="2811" w:type="dxa"/>
            <w:noWrap w:val="0"/>
            <w:vAlign w:val="center"/>
          </w:tcPr>
          <w:p w14:paraId="0AD12346">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cs="宋体"/>
                <w:sz w:val="21"/>
                <w:szCs w:val="21"/>
              </w:rPr>
              <w:t>原料堆放、装卸</w:t>
            </w:r>
          </w:p>
        </w:tc>
        <w:tc>
          <w:tcPr>
            <w:tcW w:w="1596" w:type="dxa"/>
            <w:noWrap w:val="0"/>
            <w:vAlign w:val="center"/>
          </w:tcPr>
          <w:p w14:paraId="473E730C">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颗粒物</w:t>
            </w:r>
          </w:p>
        </w:tc>
        <w:tc>
          <w:tcPr>
            <w:tcW w:w="2476" w:type="dxa"/>
            <w:noWrap w:val="0"/>
            <w:vAlign w:val="center"/>
          </w:tcPr>
          <w:p w14:paraId="45FCF4AB">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料场四周建设防风抑尘网，建设喷水抑尘装置，或建设封闭原料库</w:t>
            </w:r>
          </w:p>
        </w:tc>
      </w:tr>
      <w:tr w14:paraId="1045B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noWrap w:val="0"/>
            <w:vAlign w:val="center"/>
          </w:tcPr>
          <w:p w14:paraId="1DF79512">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2</w:t>
            </w:r>
          </w:p>
        </w:tc>
        <w:tc>
          <w:tcPr>
            <w:tcW w:w="1228" w:type="dxa"/>
            <w:gridSpan w:val="2"/>
            <w:noWrap w:val="0"/>
            <w:vAlign w:val="center"/>
          </w:tcPr>
          <w:p w14:paraId="2A98866B">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原料贮运</w:t>
            </w:r>
          </w:p>
        </w:tc>
        <w:tc>
          <w:tcPr>
            <w:tcW w:w="2811" w:type="dxa"/>
            <w:noWrap w:val="0"/>
            <w:vAlign w:val="center"/>
          </w:tcPr>
          <w:p w14:paraId="68BF1CA2">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卸料、转运</w:t>
            </w:r>
          </w:p>
        </w:tc>
        <w:tc>
          <w:tcPr>
            <w:tcW w:w="1596" w:type="dxa"/>
            <w:noWrap w:val="0"/>
            <w:vAlign w:val="center"/>
          </w:tcPr>
          <w:p w14:paraId="5A01BF2E">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颗粒物</w:t>
            </w:r>
          </w:p>
        </w:tc>
        <w:tc>
          <w:tcPr>
            <w:tcW w:w="2476" w:type="dxa"/>
            <w:noWrap w:val="0"/>
            <w:vAlign w:val="center"/>
          </w:tcPr>
          <w:p w14:paraId="6E7E6DCC">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袋式除尘器</w:t>
            </w:r>
          </w:p>
        </w:tc>
      </w:tr>
      <w:tr w14:paraId="4B24F2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noWrap w:val="0"/>
            <w:vAlign w:val="center"/>
          </w:tcPr>
          <w:p w14:paraId="34A82609">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3</w:t>
            </w:r>
          </w:p>
        </w:tc>
        <w:tc>
          <w:tcPr>
            <w:tcW w:w="1228" w:type="dxa"/>
            <w:gridSpan w:val="2"/>
            <w:noWrap w:val="0"/>
            <w:vAlign w:val="center"/>
          </w:tcPr>
          <w:p w14:paraId="3D943BB9">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燃料及熔剂破碎</w:t>
            </w:r>
          </w:p>
        </w:tc>
        <w:tc>
          <w:tcPr>
            <w:tcW w:w="2811" w:type="dxa"/>
            <w:noWrap w:val="0"/>
            <w:vAlign w:val="center"/>
          </w:tcPr>
          <w:p w14:paraId="21998C92">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燃料及熔剂筛分、破碎及转运</w:t>
            </w:r>
          </w:p>
        </w:tc>
        <w:tc>
          <w:tcPr>
            <w:tcW w:w="1596" w:type="dxa"/>
            <w:noWrap w:val="0"/>
            <w:vAlign w:val="center"/>
          </w:tcPr>
          <w:p w14:paraId="3F88C0C5">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颗粒物</w:t>
            </w:r>
          </w:p>
        </w:tc>
        <w:tc>
          <w:tcPr>
            <w:tcW w:w="2476" w:type="dxa"/>
            <w:noWrap w:val="0"/>
            <w:vAlign w:val="center"/>
          </w:tcPr>
          <w:p w14:paraId="354C4D6E">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袋式除尘器</w:t>
            </w:r>
          </w:p>
        </w:tc>
      </w:tr>
      <w:tr w14:paraId="2D2BF8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9" w:hRule="atLeast"/>
          <w:jc w:val="center"/>
        </w:trPr>
        <w:tc>
          <w:tcPr>
            <w:tcW w:w="449" w:type="dxa"/>
            <w:noWrap w:val="0"/>
            <w:vAlign w:val="center"/>
          </w:tcPr>
          <w:p w14:paraId="74D90FB0">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4</w:t>
            </w:r>
          </w:p>
        </w:tc>
        <w:tc>
          <w:tcPr>
            <w:tcW w:w="1228" w:type="dxa"/>
            <w:gridSpan w:val="2"/>
            <w:noWrap w:val="0"/>
            <w:vAlign w:val="center"/>
          </w:tcPr>
          <w:p w14:paraId="6A0F6703">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配料</w:t>
            </w:r>
          </w:p>
        </w:tc>
        <w:tc>
          <w:tcPr>
            <w:tcW w:w="2811" w:type="dxa"/>
            <w:noWrap w:val="0"/>
            <w:vAlign w:val="center"/>
          </w:tcPr>
          <w:p w14:paraId="5770178A">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熔剂、固体燃料、含铁杂料及铁精粉配料仓上、仓下落料、混合料转运、一次混合室、除尘灰仓</w:t>
            </w:r>
          </w:p>
        </w:tc>
        <w:tc>
          <w:tcPr>
            <w:tcW w:w="1596" w:type="dxa"/>
            <w:noWrap w:val="0"/>
            <w:vAlign w:val="center"/>
          </w:tcPr>
          <w:p w14:paraId="351D0559">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颗粒物</w:t>
            </w:r>
          </w:p>
        </w:tc>
        <w:tc>
          <w:tcPr>
            <w:tcW w:w="2476" w:type="dxa"/>
            <w:noWrap w:val="0"/>
            <w:vAlign w:val="center"/>
          </w:tcPr>
          <w:p w14:paraId="0A9616C9">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袋式除尘器</w:t>
            </w:r>
          </w:p>
        </w:tc>
      </w:tr>
      <w:tr w14:paraId="17A1E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vMerge w:val="restart"/>
            <w:noWrap w:val="0"/>
            <w:vAlign w:val="center"/>
          </w:tcPr>
          <w:p w14:paraId="07CFAD9B">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5</w:t>
            </w:r>
          </w:p>
        </w:tc>
        <w:tc>
          <w:tcPr>
            <w:tcW w:w="317" w:type="dxa"/>
            <w:vMerge w:val="restart"/>
            <w:noWrap w:val="0"/>
            <w:vAlign w:val="center"/>
          </w:tcPr>
          <w:p w14:paraId="566E8699">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烧结设备</w:t>
            </w:r>
          </w:p>
        </w:tc>
        <w:tc>
          <w:tcPr>
            <w:tcW w:w="911" w:type="dxa"/>
            <w:noWrap w:val="0"/>
            <w:vAlign w:val="center"/>
          </w:tcPr>
          <w:p w14:paraId="15460C4F">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烧结机头</w:t>
            </w:r>
          </w:p>
        </w:tc>
        <w:tc>
          <w:tcPr>
            <w:tcW w:w="2811" w:type="dxa"/>
            <w:noWrap w:val="0"/>
            <w:vAlign w:val="center"/>
          </w:tcPr>
          <w:p w14:paraId="00EF0590">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烧结料层抽风烧结</w:t>
            </w:r>
          </w:p>
        </w:tc>
        <w:tc>
          <w:tcPr>
            <w:tcW w:w="1596" w:type="dxa"/>
            <w:noWrap w:val="0"/>
            <w:vAlign w:val="center"/>
          </w:tcPr>
          <w:p w14:paraId="5D392067">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cs="宋体"/>
                <w:color w:val="000000"/>
                <w:kern w:val="0"/>
                <w:sz w:val="21"/>
                <w:szCs w:val="21"/>
              </w:rPr>
              <w:t>烟（粉）尘、SO</w:t>
            </w:r>
            <w:r>
              <w:rPr>
                <w:rFonts w:hint="eastAsia" w:ascii="宋体" w:hAnsi="宋体" w:cs="宋体"/>
                <w:color w:val="000000"/>
                <w:kern w:val="0"/>
                <w:sz w:val="21"/>
                <w:szCs w:val="21"/>
                <w:vertAlign w:val="subscript"/>
              </w:rPr>
              <w:t>2</w:t>
            </w:r>
            <w:r>
              <w:rPr>
                <w:rFonts w:hint="eastAsia" w:ascii="宋体" w:hAnsi="宋体" w:cs="宋体"/>
                <w:color w:val="000000"/>
                <w:kern w:val="0"/>
                <w:sz w:val="21"/>
                <w:szCs w:val="21"/>
              </w:rPr>
              <w:t>、NOx、HF、铅及其化合物、二噁英等</w:t>
            </w:r>
          </w:p>
        </w:tc>
        <w:tc>
          <w:tcPr>
            <w:tcW w:w="2476" w:type="dxa"/>
            <w:noWrap w:val="0"/>
            <w:vAlign w:val="center"/>
          </w:tcPr>
          <w:p w14:paraId="4CA65425">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静电除尘器+脱硫或活性焦脱硫脱硝一体化</w:t>
            </w:r>
          </w:p>
        </w:tc>
      </w:tr>
      <w:tr w14:paraId="2D36D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54" w:hRule="atLeast"/>
          <w:jc w:val="center"/>
        </w:trPr>
        <w:tc>
          <w:tcPr>
            <w:tcW w:w="449" w:type="dxa"/>
            <w:vMerge w:val="continue"/>
            <w:noWrap w:val="0"/>
            <w:vAlign w:val="center"/>
          </w:tcPr>
          <w:p w14:paraId="5761A789">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p>
        </w:tc>
        <w:tc>
          <w:tcPr>
            <w:tcW w:w="317" w:type="dxa"/>
            <w:vMerge w:val="continue"/>
            <w:noWrap w:val="0"/>
            <w:vAlign w:val="center"/>
          </w:tcPr>
          <w:p w14:paraId="4FF949AB">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p>
        </w:tc>
        <w:tc>
          <w:tcPr>
            <w:tcW w:w="911" w:type="dxa"/>
            <w:noWrap w:val="0"/>
            <w:vAlign w:val="center"/>
          </w:tcPr>
          <w:p w14:paraId="40CBEE6F">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烧结机尾</w:t>
            </w:r>
          </w:p>
        </w:tc>
        <w:tc>
          <w:tcPr>
            <w:tcW w:w="2811" w:type="dxa"/>
            <w:noWrap w:val="0"/>
            <w:vAlign w:val="center"/>
          </w:tcPr>
          <w:p w14:paraId="5B3E1F31">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粉料卸料转运、烧结机尾卸料、烧结矿热破、环冷机受卸料及冷矿转运</w:t>
            </w:r>
          </w:p>
        </w:tc>
        <w:tc>
          <w:tcPr>
            <w:tcW w:w="1596" w:type="dxa"/>
            <w:noWrap w:val="0"/>
            <w:vAlign w:val="center"/>
          </w:tcPr>
          <w:p w14:paraId="01383F3F">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颗粒物</w:t>
            </w:r>
          </w:p>
        </w:tc>
        <w:tc>
          <w:tcPr>
            <w:tcW w:w="2476" w:type="dxa"/>
            <w:noWrap w:val="0"/>
            <w:vAlign w:val="center"/>
          </w:tcPr>
          <w:p w14:paraId="09555C75">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袋式除尘器</w:t>
            </w:r>
          </w:p>
        </w:tc>
      </w:tr>
      <w:tr w14:paraId="587EA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9" w:type="dxa"/>
            <w:noWrap w:val="0"/>
            <w:vAlign w:val="center"/>
          </w:tcPr>
          <w:p w14:paraId="66EC6A59">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6</w:t>
            </w:r>
          </w:p>
        </w:tc>
        <w:tc>
          <w:tcPr>
            <w:tcW w:w="1228" w:type="dxa"/>
            <w:gridSpan w:val="2"/>
            <w:noWrap w:val="0"/>
            <w:vAlign w:val="center"/>
          </w:tcPr>
          <w:p w14:paraId="7B2B54B3">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烧结矿整粒筛分</w:t>
            </w:r>
          </w:p>
        </w:tc>
        <w:tc>
          <w:tcPr>
            <w:tcW w:w="2811" w:type="dxa"/>
            <w:noWrap w:val="0"/>
            <w:vAlign w:val="center"/>
          </w:tcPr>
          <w:p w14:paraId="7F74F2F3">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一次筛分室、二次筛分室、成品转运站</w:t>
            </w:r>
          </w:p>
        </w:tc>
        <w:tc>
          <w:tcPr>
            <w:tcW w:w="1596" w:type="dxa"/>
            <w:noWrap w:val="0"/>
            <w:vAlign w:val="center"/>
          </w:tcPr>
          <w:p w14:paraId="129C76F4">
            <w:pPr>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颗粒物</w:t>
            </w:r>
          </w:p>
        </w:tc>
        <w:tc>
          <w:tcPr>
            <w:tcW w:w="2476" w:type="dxa"/>
            <w:noWrap w:val="0"/>
            <w:vAlign w:val="center"/>
          </w:tcPr>
          <w:p w14:paraId="2014767D">
            <w:pPr>
              <w:keepNext/>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宋体" w:hAnsi="宋体"/>
                <w:sz w:val="21"/>
                <w:szCs w:val="21"/>
              </w:rPr>
            </w:pPr>
            <w:r>
              <w:rPr>
                <w:rFonts w:hint="eastAsia" w:ascii="宋体" w:hAnsi="宋体"/>
                <w:sz w:val="21"/>
                <w:szCs w:val="21"/>
              </w:rPr>
              <w:t>袋式除尘器</w:t>
            </w:r>
          </w:p>
        </w:tc>
      </w:tr>
    </w:tbl>
    <w:p w14:paraId="4EF124A2">
      <w:pPr>
        <w:bidi w:val="0"/>
      </w:pPr>
      <w:r>
        <w:rPr>
          <w:rFonts w:hint="eastAsia"/>
        </w:rPr>
        <w:t>球团工序大气污染物来源及控制措施见表4-</w:t>
      </w:r>
      <w:r>
        <w:rPr>
          <w:rFonts w:hint="eastAsia"/>
          <w:lang w:val="en-US" w:eastAsia="zh-CN"/>
        </w:rPr>
        <w:t>3</w:t>
      </w:r>
      <w:r>
        <w:rPr>
          <w:rFonts w:hint="eastAsia"/>
        </w:rPr>
        <w:t>。</w:t>
      </w:r>
    </w:p>
    <w:p w14:paraId="11DB5EC0">
      <w:pPr>
        <w:bidi w:val="0"/>
        <w:ind w:left="0" w:leftChars="0" w:firstLine="0" w:firstLineChars="0"/>
        <w:jc w:val="center"/>
        <w:rPr>
          <w:rFonts w:hint="eastAsia"/>
          <w:b/>
          <w:bCs/>
          <w:lang w:val="en-US" w:eastAsia="zh-CN"/>
        </w:rPr>
      </w:pPr>
      <w:r>
        <w:rPr>
          <w:rFonts w:hint="eastAsia"/>
          <w:b/>
          <w:bCs/>
          <w:lang w:val="en-US" w:eastAsia="zh-CN"/>
        </w:rPr>
        <w:t>表4-3球团生产废气排污节点及污染控制一览表</w:t>
      </w:r>
    </w:p>
    <w:tbl>
      <w:tblPr>
        <w:tblStyle w:val="17"/>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07"/>
        <w:gridCol w:w="1301"/>
        <w:gridCol w:w="2189"/>
        <w:gridCol w:w="2189"/>
        <w:gridCol w:w="2276"/>
      </w:tblGrid>
      <w:tr w14:paraId="282344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6" w:type="dxa"/>
            <w:noWrap w:val="0"/>
            <w:vAlign w:val="center"/>
          </w:tcPr>
          <w:p w14:paraId="2C07E59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序号</w:t>
            </w:r>
          </w:p>
        </w:tc>
        <w:tc>
          <w:tcPr>
            <w:tcW w:w="1332" w:type="dxa"/>
            <w:noWrap w:val="0"/>
            <w:vAlign w:val="center"/>
          </w:tcPr>
          <w:p w14:paraId="4BD4F9A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污染源名称</w:t>
            </w:r>
          </w:p>
        </w:tc>
        <w:tc>
          <w:tcPr>
            <w:tcW w:w="2241" w:type="dxa"/>
            <w:noWrap w:val="0"/>
            <w:vAlign w:val="center"/>
          </w:tcPr>
          <w:p w14:paraId="1C7DCD5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排污节点</w:t>
            </w:r>
          </w:p>
        </w:tc>
        <w:tc>
          <w:tcPr>
            <w:tcW w:w="2241" w:type="dxa"/>
            <w:noWrap w:val="0"/>
            <w:vAlign w:val="center"/>
          </w:tcPr>
          <w:p w14:paraId="4FD9487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主要污染物</w:t>
            </w:r>
          </w:p>
        </w:tc>
        <w:tc>
          <w:tcPr>
            <w:tcW w:w="2330" w:type="dxa"/>
            <w:noWrap w:val="0"/>
            <w:vAlign w:val="center"/>
          </w:tcPr>
          <w:p w14:paraId="6CAAB87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控制措施</w:t>
            </w:r>
          </w:p>
        </w:tc>
      </w:tr>
      <w:tr w14:paraId="174BC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6" w:type="dxa"/>
            <w:noWrap w:val="0"/>
            <w:vAlign w:val="center"/>
          </w:tcPr>
          <w:p w14:paraId="06C84B8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1</w:t>
            </w:r>
          </w:p>
        </w:tc>
        <w:tc>
          <w:tcPr>
            <w:tcW w:w="1332" w:type="dxa"/>
            <w:noWrap w:val="0"/>
            <w:vAlign w:val="center"/>
          </w:tcPr>
          <w:p w14:paraId="32FD442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精粉原料堆场</w:t>
            </w:r>
          </w:p>
        </w:tc>
        <w:tc>
          <w:tcPr>
            <w:tcW w:w="2241" w:type="dxa"/>
            <w:noWrap w:val="0"/>
            <w:vAlign w:val="center"/>
          </w:tcPr>
          <w:p w14:paraId="3479BE7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原料堆放、装卸</w:t>
            </w:r>
          </w:p>
        </w:tc>
        <w:tc>
          <w:tcPr>
            <w:tcW w:w="2241" w:type="dxa"/>
            <w:noWrap w:val="0"/>
            <w:vAlign w:val="center"/>
          </w:tcPr>
          <w:p w14:paraId="4534253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颗粒物</w:t>
            </w:r>
          </w:p>
        </w:tc>
        <w:tc>
          <w:tcPr>
            <w:tcW w:w="2330" w:type="dxa"/>
            <w:noWrap w:val="0"/>
            <w:vAlign w:val="center"/>
          </w:tcPr>
          <w:p w14:paraId="57FD207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料场四周建设防风抑尘网，建设喷水抑尘装置，或建设封闭原料库</w:t>
            </w:r>
          </w:p>
        </w:tc>
      </w:tr>
      <w:tr w14:paraId="04B824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6" w:type="dxa"/>
            <w:noWrap w:val="0"/>
            <w:vAlign w:val="center"/>
          </w:tcPr>
          <w:p w14:paraId="79B08A4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2</w:t>
            </w:r>
          </w:p>
        </w:tc>
        <w:tc>
          <w:tcPr>
            <w:tcW w:w="1332" w:type="dxa"/>
            <w:noWrap w:val="0"/>
            <w:vAlign w:val="center"/>
          </w:tcPr>
          <w:p w14:paraId="4024015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原煤堆存</w:t>
            </w:r>
          </w:p>
        </w:tc>
        <w:tc>
          <w:tcPr>
            <w:tcW w:w="2241" w:type="dxa"/>
            <w:noWrap w:val="0"/>
            <w:vAlign w:val="center"/>
          </w:tcPr>
          <w:p w14:paraId="645FB14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原煤堆放、装卸</w:t>
            </w:r>
          </w:p>
        </w:tc>
        <w:tc>
          <w:tcPr>
            <w:tcW w:w="2241" w:type="dxa"/>
            <w:noWrap w:val="0"/>
            <w:vAlign w:val="center"/>
          </w:tcPr>
          <w:p w14:paraId="5001AA1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颗粒物</w:t>
            </w:r>
          </w:p>
        </w:tc>
        <w:tc>
          <w:tcPr>
            <w:tcW w:w="2330" w:type="dxa"/>
            <w:noWrap w:val="0"/>
            <w:vAlign w:val="center"/>
          </w:tcPr>
          <w:p w14:paraId="00089DB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干煤棚，四周设置挡墙</w:t>
            </w:r>
          </w:p>
        </w:tc>
      </w:tr>
      <w:tr w14:paraId="52AFAD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6" w:type="dxa"/>
            <w:noWrap w:val="0"/>
            <w:vAlign w:val="center"/>
          </w:tcPr>
          <w:p w14:paraId="5E51DAC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3</w:t>
            </w:r>
          </w:p>
        </w:tc>
        <w:tc>
          <w:tcPr>
            <w:tcW w:w="1332" w:type="dxa"/>
            <w:noWrap w:val="0"/>
            <w:vAlign w:val="center"/>
          </w:tcPr>
          <w:p w14:paraId="5C7A4D4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煤粉制备</w:t>
            </w:r>
          </w:p>
        </w:tc>
        <w:tc>
          <w:tcPr>
            <w:tcW w:w="2241" w:type="dxa"/>
            <w:noWrap w:val="0"/>
            <w:vAlign w:val="center"/>
          </w:tcPr>
          <w:p w14:paraId="7BAC375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煤粉干燥</w:t>
            </w:r>
          </w:p>
        </w:tc>
        <w:tc>
          <w:tcPr>
            <w:tcW w:w="2241" w:type="dxa"/>
            <w:noWrap w:val="0"/>
            <w:vAlign w:val="center"/>
          </w:tcPr>
          <w:p w14:paraId="6FBC3B1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粉尘</w:t>
            </w:r>
          </w:p>
        </w:tc>
        <w:tc>
          <w:tcPr>
            <w:tcW w:w="2330" w:type="dxa"/>
            <w:noWrap w:val="0"/>
            <w:vAlign w:val="center"/>
          </w:tcPr>
          <w:p w14:paraId="0EC7091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袋式收粉器</w:t>
            </w:r>
          </w:p>
        </w:tc>
      </w:tr>
      <w:tr w14:paraId="48C763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6" w:type="dxa"/>
            <w:noWrap w:val="0"/>
            <w:vAlign w:val="center"/>
          </w:tcPr>
          <w:p w14:paraId="3F16298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4</w:t>
            </w:r>
          </w:p>
        </w:tc>
        <w:tc>
          <w:tcPr>
            <w:tcW w:w="1332" w:type="dxa"/>
            <w:noWrap w:val="0"/>
            <w:vAlign w:val="center"/>
          </w:tcPr>
          <w:p w14:paraId="2D46638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膨润土卸料</w:t>
            </w:r>
          </w:p>
        </w:tc>
        <w:tc>
          <w:tcPr>
            <w:tcW w:w="2241" w:type="dxa"/>
            <w:noWrap w:val="0"/>
            <w:vAlign w:val="center"/>
          </w:tcPr>
          <w:p w14:paraId="5D6EC34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膨润土料仓</w:t>
            </w:r>
          </w:p>
        </w:tc>
        <w:tc>
          <w:tcPr>
            <w:tcW w:w="2241" w:type="dxa"/>
            <w:noWrap w:val="0"/>
            <w:vAlign w:val="center"/>
          </w:tcPr>
          <w:p w14:paraId="54CC3AC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颗粒物</w:t>
            </w:r>
          </w:p>
        </w:tc>
        <w:tc>
          <w:tcPr>
            <w:tcW w:w="2330" w:type="dxa"/>
            <w:noWrap w:val="0"/>
            <w:vAlign w:val="center"/>
          </w:tcPr>
          <w:p w14:paraId="551B375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袋式除尘器</w:t>
            </w:r>
          </w:p>
        </w:tc>
      </w:tr>
      <w:tr w14:paraId="262938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6" w:type="dxa"/>
            <w:noWrap w:val="0"/>
            <w:vAlign w:val="center"/>
          </w:tcPr>
          <w:p w14:paraId="5D1E62D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5</w:t>
            </w:r>
          </w:p>
        </w:tc>
        <w:tc>
          <w:tcPr>
            <w:tcW w:w="1332" w:type="dxa"/>
            <w:noWrap w:val="0"/>
            <w:vAlign w:val="center"/>
          </w:tcPr>
          <w:p w14:paraId="30F7DF6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物料干燥</w:t>
            </w:r>
          </w:p>
        </w:tc>
        <w:tc>
          <w:tcPr>
            <w:tcW w:w="2241" w:type="dxa"/>
            <w:noWrap w:val="0"/>
            <w:vAlign w:val="center"/>
          </w:tcPr>
          <w:p w14:paraId="7AF9F4C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烘干机</w:t>
            </w:r>
          </w:p>
        </w:tc>
        <w:tc>
          <w:tcPr>
            <w:tcW w:w="2241" w:type="dxa"/>
            <w:vMerge w:val="restart"/>
            <w:noWrap w:val="0"/>
            <w:vAlign w:val="center"/>
          </w:tcPr>
          <w:p w14:paraId="026B67C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烟（粉）尘、SO</w:t>
            </w:r>
            <w:r>
              <w:rPr>
                <w:rFonts w:hint="eastAsia" w:ascii="宋体" w:hAnsi="宋体"/>
                <w:sz w:val="21"/>
                <w:szCs w:val="21"/>
                <w:vertAlign w:val="subscript"/>
              </w:rPr>
              <w:t>2</w:t>
            </w:r>
            <w:r>
              <w:rPr>
                <w:rFonts w:hint="eastAsia" w:ascii="宋体" w:hAnsi="宋体"/>
                <w:sz w:val="21"/>
                <w:szCs w:val="21"/>
              </w:rPr>
              <w:t>、NOx、HF、铅及其化合物、二噁英等</w:t>
            </w:r>
          </w:p>
        </w:tc>
        <w:tc>
          <w:tcPr>
            <w:tcW w:w="2330" w:type="dxa"/>
            <w:noWrap w:val="0"/>
            <w:vAlign w:val="center"/>
          </w:tcPr>
          <w:p w14:paraId="707EE9D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袋式除尘器、湿式除尘器</w:t>
            </w:r>
          </w:p>
        </w:tc>
      </w:tr>
      <w:tr w14:paraId="7EEEC7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6" w:type="dxa"/>
            <w:noWrap w:val="0"/>
            <w:vAlign w:val="center"/>
          </w:tcPr>
          <w:p w14:paraId="773E3D3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6</w:t>
            </w:r>
          </w:p>
        </w:tc>
        <w:tc>
          <w:tcPr>
            <w:tcW w:w="1332" w:type="dxa"/>
            <w:noWrap w:val="0"/>
            <w:vAlign w:val="center"/>
          </w:tcPr>
          <w:p w14:paraId="7812FFB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焙烧及烘干废气</w:t>
            </w:r>
          </w:p>
        </w:tc>
        <w:tc>
          <w:tcPr>
            <w:tcW w:w="2241" w:type="dxa"/>
            <w:noWrap w:val="0"/>
            <w:vAlign w:val="center"/>
          </w:tcPr>
          <w:p w14:paraId="3AA6E79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链篦机回转窑</w:t>
            </w:r>
          </w:p>
        </w:tc>
        <w:tc>
          <w:tcPr>
            <w:tcW w:w="2241" w:type="dxa"/>
            <w:vMerge w:val="continue"/>
            <w:noWrap w:val="0"/>
            <w:vAlign w:val="center"/>
          </w:tcPr>
          <w:p w14:paraId="2AE234A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p>
        </w:tc>
        <w:tc>
          <w:tcPr>
            <w:tcW w:w="2330" w:type="dxa"/>
            <w:noWrap w:val="0"/>
            <w:vAlign w:val="center"/>
          </w:tcPr>
          <w:p w14:paraId="2A1885C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静电除尘器+脱硫</w:t>
            </w:r>
          </w:p>
        </w:tc>
      </w:tr>
      <w:tr w14:paraId="088A0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6" w:type="dxa"/>
            <w:noWrap w:val="0"/>
            <w:vAlign w:val="center"/>
          </w:tcPr>
          <w:p w14:paraId="46C0DA9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7</w:t>
            </w:r>
          </w:p>
        </w:tc>
        <w:tc>
          <w:tcPr>
            <w:tcW w:w="1332" w:type="dxa"/>
            <w:noWrap w:val="0"/>
            <w:vAlign w:val="center"/>
          </w:tcPr>
          <w:p w14:paraId="3B3A8E8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球团矿卸料及转运</w:t>
            </w:r>
          </w:p>
        </w:tc>
        <w:tc>
          <w:tcPr>
            <w:tcW w:w="2241" w:type="dxa"/>
            <w:noWrap w:val="0"/>
            <w:vAlign w:val="center"/>
          </w:tcPr>
          <w:p w14:paraId="017BE64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球团矿环冷机落料、成品仓上落料、仓下卸料及转运</w:t>
            </w:r>
          </w:p>
        </w:tc>
        <w:tc>
          <w:tcPr>
            <w:tcW w:w="2241" w:type="dxa"/>
            <w:noWrap w:val="0"/>
            <w:vAlign w:val="center"/>
          </w:tcPr>
          <w:p w14:paraId="7A8E01A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颗粒物</w:t>
            </w:r>
          </w:p>
        </w:tc>
        <w:tc>
          <w:tcPr>
            <w:tcW w:w="2330" w:type="dxa"/>
            <w:noWrap w:val="0"/>
            <w:vAlign w:val="center"/>
          </w:tcPr>
          <w:p w14:paraId="3BEF598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sz w:val="21"/>
                <w:szCs w:val="21"/>
              </w:rPr>
            </w:pPr>
            <w:r>
              <w:rPr>
                <w:rFonts w:hint="eastAsia" w:ascii="宋体" w:hAnsi="宋体"/>
                <w:sz w:val="21"/>
                <w:szCs w:val="21"/>
              </w:rPr>
              <w:t>袋式除尘器</w:t>
            </w:r>
          </w:p>
        </w:tc>
      </w:tr>
    </w:tbl>
    <w:p w14:paraId="5C74FE45">
      <w:pPr>
        <w:pStyle w:val="4"/>
        <w:bidi w:val="0"/>
        <w:rPr>
          <w:rFonts w:hint="eastAsia"/>
          <w:lang w:val="en-US" w:eastAsia="zh-CN"/>
        </w:rPr>
      </w:pPr>
      <w:r>
        <w:rPr>
          <w:rFonts w:hint="eastAsia"/>
        </w:rPr>
        <w:t>4.1.3</w:t>
      </w:r>
      <w:r>
        <w:rPr>
          <w:rFonts w:hint="eastAsia"/>
          <w:lang w:val="en-US" w:eastAsia="zh-CN"/>
        </w:rPr>
        <w:t>炼铁</w:t>
      </w:r>
    </w:p>
    <w:p w14:paraId="41F1EACE">
      <w:pPr>
        <w:bidi w:val="0"/>
        <w:rPr>
          <w:rFonts w:hint="default" w:eastAsia="宋体"/>
          <w:b/>
          <w:bCs/>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炼铁工艺</w:t>
      </w:r>
    </w:p>
    <w:p w14:paraId="5598DB50">
      <w:pPr>
        <w:bidi w:val="0"/>
        <w:rPr>
          <w:rFonts w:hint="eastAsia" w:ascii="宋体" w:hAnsi="宋体"/>
          <w:color w:val="000000"/>
          <w:sz w:val="24"/>
        </w:rPr>
      </w:pPr>
      <w:r>
        <w:t>炼铁过程是将铁从其自然形态——矿石等含铁化合物中还原出来的过程。炼铁方法主要有高炉法、直接还原法、熔融还原法等</w:t>
      </w:r>
      <w:r>
        <w:rPr>
          <w:rFonts w:hint="eastAsia"/>
        </w:rPr>
        <w:t>，目前世界上95%以上采用高炉炼铁</w:t>
      </w:r>
      <w:r>
        <w:t>。</w:t>
      </w:r>
      <w:r>
        <w:rPr>
          <w:rFonts w:hint="eastAsia" w:ascii="宋体" w:hAnsi="宋体"/>
          <w:color w:val="000000"/>
          <w:sz w:val="24"/>
        </w:rPr>
        <w:t>高炉炼铁是一个还原过程，主要原料为</w:t>
      </w:r>
      <w:r>
        <w:rPr>
          <w:rFonts w:ascii="宋体" w:hAnsi="宋体"/>
          <w:color w:val="000000"/>
          <w:sz w:val="24"/>
        </w:rPr>
        <w:t>Fe</w:t>
      </w:r>
      <w:r>
        <w:rPr>
          <w:rFonts w:ascii="宋体" w:hAnsi="宋体"/>
          <w:color w:val="000000"/>
          <w:sz w:val="24"/>
          <w:vertAlign w:val="subscript"/>
        </w:rPr>
        <w:t>2</w:t>
      </w:r>
      <w:r>
        <w:rPr>
          <w:rFonts w:ascii="宋体" w:hAnsi="宋体"/>
          <w:color w:val="000000"/>
          <w:sz w:val="24"/>
        </w:rPr>
        <w:t>O</w:t>
      </w:r>
      <w:r>
        <w:rPr>
          <w:rFonts w:ascii="宋体" w:hAnsi="宋体"/>
          <w:color w:val="000000"/>
          <w:sz w:val="24"/>
          <w:vertAlign w:val="subscript"/>
        </w:rPr>
        <w:t>3</w:t>
      </w:r>
      <w:r>
        <w:rPr>
          <w:rFonts w:hint="eastAsia" w:ascii="宋体" w:hAnsi="宋体"/>
          <w:color w:val="000000"/>
          <w:sz w:val="24"/>
        </w:rPr>
        <w:t>或</w:t>
      </w:r>
      <w:r>
        <w:rPr>
          <w:rFonts w:ascii="宋体" w:hAnsi="宋体"/>
          <w:color w:val="000000"/>
          <w:sz w:val="24"/>
        </w:rPr>
        <w:t>Fe</w:t>
      </w:r>
      <w:r>
        <w:rPr>
          <w:rFonts w:ascii="宋体" w:hAnsi="宋体"/>
          <w:color w:val="000000"/>
          <w:sz w:val="24"/>
          <w:vertAlign w:val="subscript"/>
        </w:rPr>
        <w:t>3</w:t>
      </w:r>
      <w:r>
        <w:rPr>
          <w:rFonts w:ascii="宋体" w:hAnsi="宋体"/>
          <w:color w:val="000000"/>
          <w:sz w:val="24"/>
        </w:rPr>
        <w:t>O</w:t>
      </w:r>
      <w:r>
        <w:rPr>
          <w:rFonts w:ascii="宋体" w:hAnsi="宋体"/>
          <w:color w:val="000000"/>
          <w:sz w:val="24"/>
          <w:vertAlign w:val="subscript"/>
        </w:rPr>
        <w:t>4</w:t>
      </w:r>
      <w:r>
        <w:rPr>
          <w:rFonts w:hint="eastAsia" w:ascii="宋体" w:hAnsi="宋体"/>
          <w:color w:val="000000"/>
          <w:sz w:val="24"/>
        </w:rPr>
        <w:t>含量高的铁矿石、烧结矿或球团矿以及石灰石（调节矿石中脉石熔点和流动性的助熔剂）、还有焦炭（作为热源、还原剂和料柱骨架）。在高炉炼铁生产中，高炉是工艺流程的主体，从其上部装入的铁矿石、燃料和熔剂向下运动，下部鼓入空气燃料燃烧，产生大量的高温还原性气体向上运动；炉料经过加热、还原、熔化、造渣、渗碳、脱硫等一系列物理化学过程，最后生成液态炉渣和生铁。高炉炼铁工艺流程系统除高炉本体外，还有供料系统、送风系统、回收煤气与除尘系统、渣铁处理系统、喷吹燃料系统，以及为这些系统服务的动力系统等。</w:t>
      </w:r>
    </w:p>
    <w:p w14:paraId="48861070">
      <w:pPr>
        <w:spacing w:line="360" w:lineRule="auto"/>
        <w:ind w:firstLine="480" w:firstLineChars="200"/>
        <w:jc w:val="center"/>
        <w:rPr>
          <w:rFonts w:hint="eastAsia" w:ascii="Times New Roman" w:hAnsi="Times New Roman"/>
          <w:b/>
          <w:bCs/>
          <w:color w:val="000000" w:themeColor="text1"/>
          <w:lang w:val="en-US" w:eastAsia="zh-CN"/>
          <w14:textFill>
            <w14:solidFill>
              <w14:schemeClr w14:val="tx1"/>
            </w14:solidFill>
          </w14:textFill>
        </w:rPr>
      </w:pPr>
      <w:r>
        <w:drawing>
          <wp:inline distT="0" distB="0" distL="114300" distR="114300">
            <wp:extent cx="5268595" cy="3558540"/>
            <wp:effectExtent l="0" t="0" r="8255" b="3810"/>
            <wp:docPr id="1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5"/>
                    <pic:cNvPicPr>
                      <a:picLocks noChangeAspect="1"/>
                    </pic:cNvPicPr>
                  </pic:nvPicPr>
                  <pic:blipFill>
                    <a:blip r:embed="rId13"/>
                    <a:stretch>
                      <a:fillRect/>
                    </a:stretch>
                  </pic:blipFill>
                  <pic:spPr>
                    <a:xfrm>
                      <a:off x="0" y="0"/>
                      <a:ext cx="5268595" cy="3558540"/>
                    </a:xfrm>
                    <a:prstGeom prst="rect">
                      <a:avLst/>
                    </a:prstGeom>
                    <a:noFill/>
                    <a:ln>
                      <a:noFill/>
                    </a:ln>
                  </pic:spPr>
                </pic:pic>
              </a:graphicData>
            </a:graphic>
          </wp:inline>
        </w:drawing>
      </w:r>
    </w:p>
    <w:p w14:paraId="351ED87C">
      <w:pPr>
        <w:spacing w:line="360" w:lineRule="auto"/>
        <w:ind w:firstLine="482" w:firstLineChars="200"/>
        <w:jc w:val="center"/>
        <w:rPr>
          <w:rFonts w:hint="eastAsia" w:ascii="Times New Roman" w:hAnsi="Times New Roman"/>
          <w:b/>
          <w:bCs/>
          <w:color w:val="000000" w:themeColor="text1"/>
          <w:lang w:val="en-US" w:eastAsia="zh-CN"/>
          <w14:textFill>
            <w14:solidFill>
              <w14:schemeClr w14:val="tx1"/>
            </w14:solidFill>
          </w14:textFill>
        </w:rPr>
      </w:pPr>
      <w:r>
        <w:rPr>
          <w:rFonts w:hint="eastAsia" w:ascii="Times New Roman" w:hAnsi="Times New Roman"/>
          <w:b/>
          <w:bCs/>
          <w:color w:val="000000" w:themeColor="text1"/>
          <w:lang w:val="en-US" w:eastAsia="zh-CN"/>
          <w14:textFill>
            <w14:solidFill>
              <w14:schemeClr w14:val="tx1"/>
            </w14:solidFill>
          </w14:textFill>
        </w:rPr>
        <w:t>图4-4高炉生产工艺流程及排污节点图</w:t>
      </w:r>
    </w:p>
    <w:p w14:paraId="60C856DE">
      <w:pPr>
        <w:bidi w:val="0"/>
        <w:rPr>
          <w:rFonts w:ascii="宋体" w:hAnsi="宋体"/>
          <w:color w:val="000000"/>
          <w:sz w:val="24"/>
        </w:rPr>
      </w:pPr>
      <w:r>
        <w:rPr>
          <w:rFonts w:hint="eastAsia" w:ascii="宋体" w:hAnsi="宋体"/>
          <w:color w:val="000000"/>
          <w:sz w:val="24"/>
        </w:rPr>
        <w:t>高炉出铁时会在开、堵铁口时，以及出铁口、铁沟、渣沟、撇渣器、摆动流嘴、铁水罐等部位产生烟尘；高炉矿槽的槽上设有胶带卸料机，矿槽下设有给料机、烧结矿筛、焦炭筛、称量漏斗和胶带运输机等，各设备生产时在卸料、给料点等处有粉尘；高炉炉料采用胶带机上料方式，生产时炉顶胶带机头卸料时产生粉尘；高炉喷吹煤粉制备系统生产时有含煤粉的废气产生；高炉热风炉以高炉煤气为主要燃料，燃烧废气中含有少量烟尘、SO</w:t>
      </w:r>
      <w:r>
        <w:rPr>
          <w:rFonts w:hint="eastAsia" w:ascii="宋体" w:hAnsi="宋体"/>
          <w:color w:val="000000"/>
          <w:sz w:val="24"/>
          <w:vertAlign w:val="subscript"/>
        </w:rPr>
        <w:t>2</w:t>
      </w:r>
      <w:r>
        <w:rPr>
          <w:rFonts w:hint="eastAsia" w:ascii="宋体" w:hAnsi="宋体"/>
          <w:color w:val="000000"/>
          <w:sz w:val="24"/>
        </w:rPr>
        <w:t>和NO</w:t>
      </w:r>
      <w:r>
        <w:rPr>
          <w:rFonts w:hint="eastAsia" w:ascii="宋体" w:hAnsi="宋体"/>
          <w:color w:val="000000"/>
          <w:sz w:val="24"/>
          <w:vertAlign w:val="subscript"/>
        </w:rPr>
        <w:t>X</w:t>
      </w:r>
      <w:r>
        <w:rPr>
          <w:rFonts w:hint="eastAsia" w:ascii="宋体" w:hAnsi="宋体"/>
          <w:color w:val="000000"/>
          <w:sz w:val="24"/>
        </w:rPr>
        <w:t>；高炉冶炼过程中炉内有大量含尘和CO的高炉煤气产生，高炉煤气在净化后作为钢铁生产重要的燃料使用。高炉炼铁工艺流程见图4-</w:t>
      </w:r>
      <w:r>
        <w:rPr>
          <w:rFonts w:hint="eastAsia" w:ascii="宋体" w:hAnsi="宋体"/>
          <w:color w:val="000000"/>
          <w:sz w:val="24"/>
          <w:lang w:val="en-US" w:eastAsia="zh-CN"/>
        </w:rPr>
        <w:t>4</w:t>
      </w:r>
      <w:r>
        <w:rPr>
          <w:rFonts w:hint="eastAsia" w:ascii="宋体" w:hAnsi="宋体"/>
          <w:color w:val="000000"/>
          <w:sz w:val="24"/>
        </w:rPr>
        <w:t>。</w:t>
      </w:r>
    </w:p>
    <w:p w14:paraId="32F331E1">
      <w:pPr>
        <w:numPr>
          <w:ilvl w:val="0"/>
          <w:numId w:val="5"/>
        </w:numPr>
        <w:rPr>
          <w:rFonts w:hint="eastAsia"/>
          <w:b/>
          <w:bCs/>
          <w:lang w:val="en-US" w:eastAsia="zh-CN"/>
        </w:rPr>
      </w:pPr>
      <w:r>
        <w:rPr>
          <w:rFonts w:hint="eastAsia"/>
          <w:b/>
          <w:bCs/>
          <w:lang w:val="en-US" w:eastAsia="zh-CN"/>
        </w:rPr>
        <w:t>污染物排放特征</w:t>
      </w:r>
    </w:p>
    <w:p w14:paraId="5ABE094B">
      <w:pPr>
        <w:bidi w:val="0"/>
        <w:rPr>
          <w:rFonts w:hint="eastAsia" w:ascii="宋体" w:hAnsi="宋体" w:cs="宋体"/>
          <w:color w:val="000000"/>
          <w:sz w:val="24"/>
          <w:szCs w:val="24"/>
          <w:lang w:eastAsia="zh-CN"/>
        </w:rPr>
      </w:pPr>
      <w:r>
        <w:rPr>
          <w:rFonts w:ascii="宋体" w:hAnsi="宋体" w:eastAsia="宋体" w:cs="宋体"/>
          <w:color w:val="000000"/>
          <w:spacing w:val="-5"/>
          <w:sz w:val="24"/>
          <w:szCs w:val="24"/>
        </w:rPr>
        <w:t>炼铁各主要产尘点主要集中在以下部位。</w:t>
      </w:r>
      <w:r>
        <w:rPr>
          <w:rFonts w:ascii="宋体" w:hAnsi="宋体" w:eastAsia="宋体" w:cs="宋体"/>
          <w:b/>
          <w:color w:val="000000"/>
          <w:spacing w:val="-3"/>
          <w:sz w:val="24"/>
          <w:szCs w:val="24"/>
        </w:rPr>
        <w:t>一是</w:t>
      </w:r>
      <w:r>
        <w:rPr>
          <w:rFonts w:ascii="宋体" w:hAnsi="宋体" w:eastAsia="宋体" w:cs="宋体"/>
          <w:color w:val="000000"/>
          <w:spacing w:val="-5"/>
          <w:sz w:val="24"/>
          <w:szCs w:val="24"/>
        </w:rPr>
        <w:t>储矿槽槽上和槽下分别具有储存烧结矿、焦炭、</w:t>
      </w:r>
      <w:r>
        <w:rPr>
          <w:rFonts w:ascii="宋体" w:hAnsi="宋体" w:eastAsia="宋体" w:cs="宋体"/>
          <w:color w:val="000000"/>
          <w:spacing w:val="-2"/>
          <w:sz w:val="24"/>
          <w:szCs w:val="24"/>
        </w:rPr>
        <w:t>杂矿，以及振动给料、胶带转运功能，槽上扬尘主要来自于分料皮带机机头和布料车皮带</w:t>
      </w:r>
      <w:r>
        <w:rPr>
          <w:rFonts w:ascii="宋体" w:hAnsi="宋体" w:eastAsia="宋体" w:cs="宋体"/>
          <w:color w:val="000000"/>
          <w:spacing w:val="-1"/>
          <w:sz w:val="24"/>
          <w:szCs w:val="24"/>
        </w:rPr>
        <w:t>机受料</w:t>
      </w:r>
      <w:r>
        <w:rPr>
          <w:rFonts w:ascii="宋体" w:hAnsi="宋体" w:eastAsia="宋体" w:cs="宋体"/>
          <w:color w:val="000000"/>
          <w:spacing w:val="-3"/>
          <w:sz w:val="24"/>
          <w:szCs w:val="24"/>
        </w:rPr>
        <w:t>点的扬尘，布料车向贮矿仓卸料时，小车头轮处</w:t>
      </w:r>
      <w:r>
        <w:rPr>
          <w:rFonts w:ascii="宋体" w:hAnsi="宋体" w:eastAsia="宋体" w:cs="宋体"/>
          <w:color w:val="000000"/>
          <w:spacing w:val="-1"/>
          <w:sz w:val="24"/>
          <w:szCs w:val="24"/>
        </w:rPr>
        <w:t>会因为转运卸料产生大量扬尘，布料车向贮矿仓</w:t>
      </w:r>
      <w:r>
        <w:rPr>
          <w:rFonts w:ascii="宋体" w:hAnsi="宋体" w:eastAsia="宋体" w:cs="宋体"/>
          <w:color w:val="000000"/>
          <w:spacing w:val="-2"/>
          <w:sz w:val="24"/>
          <w:szCs w:val="24"/>
        </w:rPr>
        <w:t>卸料时，由于落差较大，产生的剧烈扬尘。槽下扬尘主要来自槽下震动给料机在筛料</w:t>
      </w:r>
      <w:r>
        <w:rPr>
          <w:rFonts w:ascii="宋体" w:hAnsi="宋体" w:eastAsia="宋体" w:cs="宋体"/>
          <w:color w:val="000000"/>
          <w:spacing w:val="-3"/>
          <w:sz w:val="24"/>
          <w:szCs w:val="24"/>
        </w:rPr>
        <w:t>时，称</w:t>
      </w:r>
      <w:r>
        <w:rPr>
          <w:rFonts w:ascii="宋体" w:hAnsi="宋体" w:eastAsia="宋体" w:cs="宋体"/>
          <w:color w:val="000000"/>
          <w:spacing w:val="-1"/>
          <w:sz w:val="24"/>
          <w:szCs w:val="24"/>
        </w:rPr>
        <w:t>重仓</w:t>
      </w:r>
      <w:r>
        <w:rPr>
          <w:rFonts w:ascii="宋体" w:hAnsi="宋体" w:eastAsia="宋体" w:cs="宋体"/>
          <w:color w:val="000000"/>
          <w:spacing w:val="-2"/>
          <w:sz w:val="24"/>
          <w:szCs w:val="24"/>
        </w:rPr>
        <w:t>和给料机筛面的扬尘，震动给料机向各个输送皮带落料时产生的扬尘，碎矿返矿皮带输送</w:t>
      </w:r>
      <w:r>
        <w:rPr>
          <w:rFonts w:ascii="宋体" w:hAnsi="宋体" w:eastAsia="宋体" w:cs="宋体"/>
          <w:color w:val="000000"/>
          <w:spacing w:val="-1"/>
          <w:sz w:val="24"/>
          <w:szCs w:val="24"/>
        </w:rPr>
        <w:t>机机头</w:t>
      </w:r>
      <w:r>
        <w:rPr>
          <w:rFonts w:ascii="宋体" w:hAnsi="宋体" w:eastAsia="宋体" w:cs="宋体"/>
          <w:color w:val="000000"/>
          <w:spacing w:val="-3"/>
          <w:sz w:val="24"/>
          <w:szCs w:val="24"/>
        </w:rPr>
        <w:t>处的扬尘，成品矿向料坑贮矿仓卸料时的扬尘，</w:t>
      </w:r>
      <w:r>
        <w:rPr>
          <w:rFonts w:ascii="宋体" w:hAnsi="宋体" w:eastAsia="宋体" w:cs="宋体"/>
          <w:color w:val="000000"/>
          <w:spacing w:val="-1"/>
          <w:sz w:val="24"/>
          <w:szCs w:val="24"/>
        </w:rPr>
        <w:t>以及料坑内向上料小车装料时的扬尘。这部分粉</w:t>
      </w:r>
      <w:r>
        <w:rPr>
          <w:rFonts w:ascii="宋体" w:hAnsi="宋体" w:eastAsia="宋体" w:cs="宋体"/>
          <w:color w:val="000000"/>
          <w:spacing w:val="-2"/>
          <w:sz w:val="24"/>
          <w:szCs w:val="24"/>
        </w:rPr>
        <w:t>尘具有阵发性、扩散性和瞬间产尘量大的特点，浓度在</w:t>
      </w:r>
      <w:r>
        <w:rPr>
          <w:rFonts w:ascii="Times New Roman" w:hAnsi="Times New Roman" w:eastAsia="Times New Roman" w:cs="Times New Roman"/>
          <w:color w:val="000000"/>
          <w:spacing w:val="-2"/>
          <w:sz w:val="24"/>
          <w:szCs w:val="24"/>
        </w:rPr>
        <w:t>3g/m</w:t>
      </w:r>
      <w:r>
        <w:rPr>
          <w:rFonts w:ascii="Times New Roman" w:hAnsi="Times New Roman" w:eastAsia="Times New Roman" w:cs="Times New Roman"/>
          <w:color w:val="000000"/>
          <w:spacing w:val="-1"/>
          <w:sz w:val="24"/>
          <w:szCs w:val="24"/>
          <w:vertAlign w:val="superscript"/>
        </w:rPr>
        <w:t>3</w:t>
      </w:r>
      <w:r>
        <w:rPr>
          <w:rFonts w:ascii="宋体" w:hAnsi="宋体" w:eastAsia="宋体" w:cs="宋体"/>
          <w:color w:val="000000"/>
          <w:spacing w:val="-3"/>
          <w:sz w:val="24"/>
          <w:szCs w:val="24"/>
        </w:rPr>
        <w:t>～</w:t>
      </w:r>
      <w:r>
        <w:rPr>
          <w:rFonts w:ascii="Times New Roman" w:hAnsi="Times New Roman" w:eastAsia="Times New Roman" w:cs="Times New Roman"/>
          <w:color w:val="000000"/>
          <w:spacing w:val="-1"/>
          <w:sz w:val="24"/>
          <w:szCs w:val="24"/>
        </w:rPr>
        <w:t>5g/m</w:t>
      </w:r>
      <w:r>
        <w:rPr>
          <w:rFonts w:ascii="Times New Roman" w:hAnsi="Times New Roman" w:eastAsia="Times New Roman" w:cs="Times New Roman"/>
          <w:color w:val="000000"/>
          <w:spacing w:val="-1"/>
          <w:sz w:val="24"/>
          <w:szCs w:val="24"/>
          <w:vertAlign w:val="superscript"/>
        </w:rPr>
        <w:t>3</w:t>
      </w:r>
      <w:r>
        <w:rPr>
          <w:rFonts w:ascii="宋体" w:hAnsi="宋体" w:eastAsia="宋体" w:cs="宋体"/>
          <w:color w:val="000000"/>
          <w:spacing w:val="-2"/>
          <w:sz w:val="24"/>
          <w:szCs w:val="24"/>
        </w:rPr>
        <w:t>；</w:t>
      </w:r>
      <w:r>
        <w:rPr>
          <w:rFonts w:ascii="宋体" w:hAnsi="宋体" w:eastAsia="宋体" w:cs="宋体"/>
          <w:b/>
          <w:color w:val="000000"/>
          <w:spacing w:val="-2"/>
          <w:sz w:val="24"/>
          <w:szCs w:val="24"/>
        </w:rPr>
        <w:t>二是</w:t>
      </w:r>
      <w:r>
        <w:rPr>
          <w:rFonts w:ascii="宋体" w:hAnsi="宋体" w:eastAsia="宋体" w:cs="宋体"/>
          <w:color w:val="000000"/>
          <w:spacing w:val="-2"/>
          <w:sz w:val="24"/>
          <w:szCs w:val="24"/>
        </w:rPr>
        <w:t>高炉出铁时在出铁口</w:t>
      </w:r>
      <w:r>
        <w:rPr>
          <w:rFonts w:ascii="宋体" w:hAnsi="宋体" w:eastAsia="宋体" w:cs="宋体"/>
          <w:color w:val="000000"/>
          <w:spacing w:val="-5"/>
          <w:sz w:val="24"/>
          <w:szCs w:val="24"/>
        </w:rPr>
        <w:t>区的主撇渣器、</w:t>
      </w:r>
      <w:r>
        <w:rPr>
          <w:rFonts w:ascii="宋体" w:hAnsi="宋体" w:eastAsia="宋体" w:cs="宋体"/>
          <w:color w:val="000000"/>
          <w:spacing w:val="-4"/>
          <w:sz w:val="24"/>
          <w:szCs w:val="24"/>
        </w:rPr>
        <w:t>铁水摆动流嘴、</w:t>
      </w:r>
      <w:r>
        <w:rPr>
          <w:rFonts w:ascii="宋体" w:hAnsi="宋体" w:eastAsia="宋体" w:cs="宋体"/>
          <w:color w:val="000000"/>
          <w:spacing w:val="-6"/>
          <w:sz w:val="24"/>
          <w:szCs w:val="24"/>
        </w:rPr>
        <w:t>渣沟、</w:t>
      </w:r>
      <w:r>
        <w:rPr>
          <w:rFonts w:ascii="宋体" w:hAnsi="宋体" w:eastAsia="宋体" w:cs="宋体"/>
          <w:color w:val="000000"/>
          <w:spacing w:val="-5"/>
          <w:sz w:val="24"/>
          <w:szCs w:val="24"/>
        </w:rPr>
        <w:t>铁水沟等处均产生大量烟尘。烟气的特</w:t>
      </w:r>
      <w:r>
        <w:rPr>
          <w:rFonts w:ascii="宋体" w:hAnsi="宋体" w:eastAsia="宋体" w:cs="宋体"/>
          <w:color w:val="000000"/>
          <w:spacing w:val="-4"/>
          <w:sz w:val="24"/>
          <w:szCs w:val="24"/>
        </w:rPr>
        <w:t>点是高温喷射而出，</w:t>
      </w:r>
      <w:r>
        <w:rPr>
          <w:rFonts w:ascii="宋体" w:hAnsi="宋体" w:eastAsia="宋体" w:cs="宋体"/>
          <w:color w:val="000000"/>
          <w:spacing w:val="-2"/>
          <w:sz w:val="24"/>
          <w:szCs w:val="24"/>
        </w:rPr>
        <w:t>瞬间烟气量大，但出铁场时间存在自身周期，因此属于间断产尘点；</w:t>
      </w:r>
      <w:r>
        <w:rPr>
          <w:rFonts w:ascii="宋体" w:hAnsi="宋体" w:eastAsia="宋体" w:cs="宋体"/>
          <w:b/>
          <w:color w:val="000000"/>
          <w:spacing w:val="-1"/>
          <w:sz w:val="24"/>
          <w:szCs w:val="24"/>
        </w:rPr>
        <w:t>三是</w:t>
      </w:r>
      <w:r>
        <w:rPr>
          <w:rFonts w:ascii="宋体" w:hAnsi="宋体" w:eastAsia="宋体" w:cs="宋体"/>
          <w:color w:val="000000"/>
          <w:spacing w:val="-3"/>
          <w:sz w:val="24"/>
          <w:szCs w:val="24"/>
        </w:rPr>
        <w:t>高</w:t>
      </w:r>
      <w:r>
        <w:rPr>
          <w:rFonts w:ascii="宋体" w:hAnsi="宋体" w:eastAsia="宋体" w:cs="宋体"/>
          <w:color w:val="000000"/>
          <w:spacing w:val="-2"/>
          <w:sz w:val="24"/>
          <w:szCs w:val="24"/>
        </w:rPr>
        <w:t>炉热风炉废气烟尘是由于燃烧的煤气一般为净化后的高炉煤气和转炉煤气，因此，热风炉废气中含尘浓度较低</w:t>
      </w:r>
      <w:r>
        <w:rPr>
          <w:rFonts w:ascii="宋体" w:hAnsi="宋体" w:eastAsia="宋体" w:cs="宋体"/>
          <w:color w:val="000000"/>
          <w:spacing w:val="-1"/>
          <w:sz w:val="24"/>
          <w:szCs w:val="24"/>
        </w:rPr>
        <w:t>，含尘</w:t>
      </w:r>
      <w:r>
        <w:rPr>
          <w:rFonts w:ascii="宋体" w:hAnsi="宋体" w:eastAsia="宋体" w:cs="宋体"/>
          <w:color w:val="000000"/>
          <w:spacing w:val="1"/>
          <w:sz w:val="24"/>
          <w:szCs w:val="24"/>
        </w:rPr>
        <w:t>量在</w:t>
      </w:r>
      <w:r>
        <w:rPr>
          <w:rFonts w:ascii="Times New Roman" w:hAnsi="Times New Roman" w:eastAsia="Times New Roman" w:cs="Times New Roman"/>
          <w:color w:val="000000"/>
          <w:sz w:val="24"/>
          <w:szCs w:val="24"/>
        </w:rPr>
        <w:t>10mg/m</w:t>
      </w:r>
      <w:r>
        <w:rPr>
          <w:rFonts w:ascii="Times New Roman" w:hAnsi="Times New Roman" w:eastAsia="Times New Roman" w:cs="Times New Roman"/>
          <w:color w:val="000000"/>
          <w:spacing w:val="5"/>
          <w:sz w:val="24"/>
          <w:szCs w:val="24"/>
          <w:vertAlign w:val="superscript"/>
        </w:rPr>
        <w:t>3</w:t>
      </w:r>
      <w:r>
        <w:rPr>
          <w:rFonts w:ascii="宋体" w:hAnsi="宋体" w:eastAsia="宋体" w:cs="宋体"/>
          <w:color w:val="000000"/>
          <w:spacing w:val="1"/>
          <w:sz w:val="24"/>
          <w:szCs w:val="24"/>
        </w:rPr>
        <w:t>左右；</w:t>
      </w:r>
      <w:r>
        <w:rPr>
          <w:rFonts w:ascii="宋体" w:hAnsi="宋体" w:eastAsia="宋体" w:cs="宋体"/>
          <w:b/>
          <w:color w:val="000000"/>
          <w:spacing w:val="1"/>
          <w:sz w:val="24"/>
          <w:szCs w:val="24"/>
        </w:rPr>
        <w:t>四是</w:t>
      </w:r>
      <w:r>
        <w:rPr>
          <w:rFonts w:ascii="宋体" w:hAnsi="宋体" w:eastAsia="宋体" w:cs="宋体"/>
          <w:color w:val="000000"/>
          <w:spacing w:val="1"/>
          <w:sz w:val="24"/>
          <w:szCs w:val="24"/>
        </w:rPr>
        <w:t>高炉喷煤系统产生粉尘的主要部位在球磨机、布袋除尘器、螺旋泵、</w:t>
      </w:r>
      <w:r>
        <w:rPr>
          <w:rFonts w:ascii="宋体" w:hAnsi="宋体" w:eastAsia="宋体" w:cs="宋体"/>
          <w:color w:val="000000"/>
          <w:spacing w:val="3"/>
          <w:sz w:val="24"/>
          <w:szCs w:val="24"/>
        </w:rPr>
        <w:t>皮带转运站、输送管路、控制阀门及均压放散等处。具有易燃易爆，尘浓度</w:t>
      </w:r>
      <w:r>
        <w:rPr>
          <w:rFonts w:ascii="宋体" w:hAnsi="宋体" w:eastAsia="宋体" w:cs="宋体"/>
          <w:color w:val="000000"/>
          <w:spacing w:val="2"/>
          <w:sz w:val="24"/>
          <w:szCs w:val="24"/>
        </w:rPr>
        <w:t>高的特点，尘浓度</w:t>
      </w:r>
      <w:r>
        <w:rPr>
          <w:rFonts w:ascii="Times New Roman" w:hAnsi="Times New Roman" w:eastAsia="Times New Roman" w:cs="Times New Roman"/>
          <w:color w:val="000000"/>
          <w:sz w:val="24"/>
          <w:szCs w:val="24"/>
        </w:rPr>
        <w:t>50g/m</w:t>
      </w:r>
      <w:r>
        <w:rPr>
          <w:rFonts w:ascii="Times New Roman" w:hAnsi="Times New Roman" w:eastAsia="Times New Roman" w:cs="Times New Roman"/>
          <w:color w:val="000000"/>
          <w:spacing w:val="-1"/>
          <w:sz w:val="24"/>
          <w:szCs w:val="24"/>
          <w:vertAlign w:val="superscript"/>
        </w:rPr>
        <w:t>3</w:t>
      </w:r>
      <w:r>
        <w:rPr>
          <w:rFonts w:ascii="宋体" w:hAnsi="宋体" w:eastAsia="宋体" w:cs="宋体"/>
          <w:color w:val="000000"/>
          <w:spacing w:val="-1"/>
          <w:sz w:val="24"/>
          <w:szCs w:val="24"/>
        </w:rPr>
        <w:t>～</w:t>
      </w:r>
      <w:r>
        <w:rPr>
          <w:rFonts w:ascii="Times New Roman" w:hAnsi="Times New Roman" w:eastAsia="Times New Roman" w:cs="Times New Roman"/>
          <w:color w:val="000000"/>
          <w:sz w:val="24"/>
          <w:szCs w:val="24"/>
        </w:rPr>
        <w:t>60g/m</w:t>
      </w:r>
      <w:r>
        <w:rPr>
          <w:rFonts w:ascii="Times New Roman" w:hAnsi="Times New Roman" w:eastAsia="Times New Roman" w:cs="Times New Roman"/>
          <w:color w:val="000000"/>
          <w:spacing w:val="-1"/>
          <w:sz w:val="24"/>
          <w:szCs w:val="24"/>
          <w:vertAlign w:val="superscript"/>
        </w:rPr>
        <w:t>3</w:t>
      </w:r>
      <w:r>
        <w:rPr>
          <w:rFonts w:ascii="宋体" w:hAnsi="宋体" w:eastAsia="宋体" w:cs="宋体"/>
          <w:color w:val="000000"/>
          <w:spacing w:val="-1"/>
          <w:sz w:val="24"/>
          <w:szCs w:val="24"/>
        </w:rPr>
        <w:t>。</w:t>
      </w:r>
      <w:r>
        <w:rPr>
          <w:rFonts w:ascii="宋体" w:hAnsi="宋体" w:eastAsia="宋体" w:cs="宋体"/>
          <w:color w:val="000000"/>
          <w:spacing w:val="1"/>
          <w:sz w:val="24"/>
          <w:szCs w:val="24"/>
        </w:rPr>
        <w:t>炼铁工</w:t>
      </w:r>
      <w:r>
        <w:rPr>
          <w:rFonts w:ascii="宋体" w:hAnsi="宋体" w:eastAsia="宋体" w:cs="宋体"/>
          <w:color w:val="000000"/>
          <w:sz w:val="24"/>
          <w:szCs w:val="24"/>
        </w:rPr>
        <w:t>序各主要产尘节点粉尘特性</w:t>
      </w:r>
      <w:r>
        <w:rPr>
          <w:rFonts w:hint="eastAsia" w:ascii="宋体" w:hAnsi="宋体" w:cs="宋体"/>
          <w:color w:val="000000"/>
          <w:sz w:val="24"/>
          <w:szCs w:val="24"/>
          <w:lang w:val="en-US" w:eastAsia="zh-CN"/>
        </w:rPr>
        <w:t>见</w:t>
      </w:r>
      <w:r>
        <w:rPr>
          <w:rFonts w:ascii="宋体" w:hAnsi="宋体" w:eastAsia="宋体" w:cs="宋体"/>
          <w:color w:val="000000"/>
          <w:sz w:val="24"/>
          <w:szCs w:val="24"/>
        </w:rPr>
        <w:t>表</w:t>
      </w:r>
      <w:r>
        <w:rPr>
          <w:rFonts w:hint="eastAsia" w:ascii="宋体" w:hAnsi="宋体" w:cs="宋体"/>
          <w:color w:val="000000"/>
          <w:sz w:val="24"/>
          <w:szCs w:val="24"/>
          <w:lang w:val="en-US" w:eastAsia="zh-CN"/>
        </w:rPr>
        <w:t>4-5</w:t>
      </w:r>
      <w:r>
        <w:rPr>
          <w:rFonts w:hint="eastAsia" w:ascii="宋体" w:hAnsi="宋体" w:cs="宋体"/>
          <w:color w:val="000000"/>
          <w:sz w:val="24"/>
          <w:szCs w:val="24"/>
          <w:lang w:eastAsia="zh-CN"/>
        </w:rPr>
        <w:t>。</w:t>
      </w:r>
    </w:p>
    <w:p w14:paraId="4D6F5CB3">
      <w:pPr>
        <w:bidi w:val="0"/>
        <w:rPr>
          <w:rFonts w:hint="eastAsia" w:ascii="宋体" w:hAnsi="宋体" w:cs="宋体"/>
          <w:color w:val="000000"/>
          <w:sz w:val="24"/>
          <w:szCs w:val="24"/>
          <w:lang w:eastAsia="zh-CN"/>
        </w:rPr>
      </w:pPr>
      <w:r>
        <w:rPr>
          <w:rFonts w:ascii="宋体" w:hAnsi="宋体" w:eastAsia="宋体" w:cs="宋体"/>
          <w:color w:val="000000"/>
          <w:spacing w:val="-4"/>
          <w:sz w:val="24"/>
          <w:szCs w:val="24"/>
        </w:rPr>
        <w:t>炼铁系统排放的</w:t>
      </w:r>
      <w:r>
        <w:rPr>
          <w:rFonts w:ascii="Times New Roman" w:hAnsi="Times New Roman" w:eastAsia="Times New Roman" w:cs="Times New Roman"/>
          <w:color w:val="000000"/>
          <w:spacing w:val="-1"/>
          <w:sz w:val="24"/>
          <w:szCs w:val="24"/>
        </w:rPr>
        <w:t>SO</w:t>
      </w:r>
      <w:r>
        <w:rPr>
          <w:rFonts w:ascii="Times New Roman" w:hAnsi="Times New Roman" w:eastAsia="Times New Roman" w:cs="Times New Roman"/>
          <w:color w:val="000000"/>
          <w:spacing w:val="-1"/>
          <w:sz w:val="24"/>
          <w:szCs w:val="24"/>
          <w:vertAlign w:val="subscript"/>
        </w:rPr>
        <w:t>2</w:t>
      </w:r>
      <w:r>
        <w:rPr>
          <w:rFonts w:ascii="宋体" w:hAnsi="宋体" w:eastAsia="宋体" w:cs="宋体"/>
          <w:color w:val="000000"/>
          <w:spacing w:val="-4"/>
          <w:sz w:val="24"/>
          <w:szCs w:val="24"/>
        </w:rPr>
        <w:t>、</w:t>
      </w:r>
      <w:r>
        <w:rPr>
          <w:rFonts w:ascii="Times New Roman" w:hAnsi="Times New Roman" w:eastAsia="Times New Roman" w:cs="Times New Roman"/>
          <w:color w:val="000000"/>
          <w:spacing w:val="-2"/>
          <w:sz w:val="24"/>
          <w:szCs w:val="24"/>
        </w:rPr>
        <w:t>NOx</w:t>
      </w:r>
      <w:r>
        <w:rPr>
          <w:rFonts w:ascii="宋体" w:hAnsi="宋体" w:eastAsia="宋体" w:cs="宋体"/>
          <w:color w:val="000000"/>
          <w:spacing w:val="-4"/>
          <w:sz w:val="24"/>
          <w:szCs w:val="24"/>
        </w:rPr>
        <w:t>主要来源为热风炉燃烧废气，</w:t>
      </w:r>
      <w:r>
        <w:rPr>
          <w:rFonts w:ascii="宋体" w:hAnsi="宋体" w:eastAsia="宋体" w:cs="宋体"/>
          <w:color w:val="000000"/>
          <w:spacing w:val="-3"/>
          <w:sz w:val="24"/>
          <w:szCs w:val="24"/>
        </w:rPr>
        <w:t>热风炉一般以净化后的高炉煤气或</w:t>
      </w:r>
      <w:r>
        <w:rPr>
          <w:rFonts w:ascii="宋体" w:hAnsi="宋体" w:eastAsia="宋体" w:cs="宋体"/>
          <w:color w:val="000000"/>
          <w:spacing w:val="-2"/>
          <w:sz w:val="24"/>
          <w:szCs w:val="24"/>
        </w:rPr>
        <w:t>转炉煤气为燃料，高炉煤气中</w:t>
      </w:r>
      <w:r>
        <w:rPr>
          <w:rFonts w:ascii="Times New Roman" w:hAnsi="Times New Roman" w:eastAsia="Times New Roman" w:cs="Times New Roman"/>
          <w:color w:val="000000"/>
          <w:spacing w:val="-5"/>
          <w:sz w:val="24"/>
          <w:szCs w:val="24"/>
        </w:rPr>
        <w:t>H</w:t>
      </w:r>
      <w:r>
        <w:rPr>
          <w:rFonts w:ascii="Times New Roman" w:hAnsi="Times New Roman" w:eastAsia="Times New Roman" w:cs="Times New Roman"/>
          <w:color w:val="000000"/>
          <w:spacing w:val="-1"/>
          <w:sz w:val="24"/>
          <w:szCs w:val="24"/>
          <w:vertAlign w:val="subscript"/>
        </w:rPr>
        <w:t>2</w:t>
      </w:r>
      <w:r>
        <w:rPr>
          <w:rFonts w:ascii="Times New Roman" w:hAnsi="Times New Roman" w:eastAsia="Times New Roman" w:cs="Times New Roman"/>
          <w:color w:val="000000"/>
          <w:spacing w:val="-1"/>
          <w:sz w:val="24"/>
          <w:szCs w:val="24"/>
        </w:rPr>
        <w:t>S</w:t>
      </w:r>
      <w:r>
        <w:rPr>
          <w:rFonts w:ascii="宋体" w:hAnsi="宋体" w:eastAsia="宋体" w:cs="宋体"/>
          <w:color w:val="000000"/>
          <w:spacing w:val="-2"/>
          <w:sz w:val="24"/>
          <w:szCs w:val="24"/>
        </w:rPr>
        <w:t>含量约占煤气中总硫含量的</w:t>
      </w:r>
      <w:r>
        <w:rPr>
          <w:rFonts w:ascii="Times New Roman" w:hAnsi="Times New Roman" w:eastAsia="Times New Roman" w:cs="Times New Roman"/>
          <w:color w:val="000000"/>
          <w:spacing w:val="-4"/>
          <w:sz w:val="24"/>
          <w:szCs w:val="24"/>
        </w:rPr>
        <w:t>1</w:t>
      </w:r>
      <w:r>
        <w:rPr>
          <w:rFonts w:ascii="Times New Roman" w:hAnsi="Times New Roman" w:eastAsia="Times New Roman" w:cs="Times New Roman"/>
          <w:color w:val="000000"/>
          <w:spacing w:val="-1"/>
          <w:sz w:val="24"/>
          <w:szCs w:val="24"/>
        </w:rPr>
        <w:t>5</w:t>
      </w:r>
      <w:r>
        <w:rPr>
          <w:rFonts w:ascii="Times New Roman" w:hAnsi="Times New Roman" w:eastAsia="Times New Roman" w:cs="Times New Roman"/>
          <w:color w:val="000000"/>
          <w:spacing w:val="-2"/>
          <w:sz w:val="24"/>
          <w:szCs w:val="24"/>
        </w:rPr>
        <w:t>%~</w:t>
      </w:r>
      <w:r>
        <w:rPr>
          <w:rFonts w:ascii="Times New Roman" w:hAnsi="Times New Roman" w:eastAsia="Times New Roman" w:cs="Times New Roman"/>
          <w:color w:val="000000"/>
          <w:spacing w:val="-1"/>
          <w:sz w:val="24"/>
          <w:szCs w:val="24"/>
        </w:rPr>
        <w:t>30</w:t>
      </w:r>
      <w:r>
        <w:rPr>
          <w:rFonts w:ascii="Times New Roman" w:hAnsi="Times New Roman" w:eastAsia="Times New Roman" w:cs="Times New Roman"/>
          <w:color w:val="000000"/>
          <w:spacing w:val="-2"/>
          <w:sz w:val="24"/>
          <w:szCs w:val="24"/>
        </w:rPr>
        <w:t>%</w:t>
      </w:r>
      <w:r>
        <w:rPr>
          <w:rFonts w:ascii="宋体" w:hAnsi="宋体" w:eastAsia="宋体" w:cs="宋体"/>
          <w:color w:val="000000"/>
          <w:spacing w:val="-2"/>
          <w:sz w:val="24"/>
          <w:szCs w:val="24"/>
        </w:rPr>
        <w:t>，转炉煤气中不含硫，目前受高炉原料波动影响，热风炉</w:t>
      </w:r>
      <w:r>
        <w:rPr>
          <w:rFonts w:ascii="宋体" w:hAnsi="宋体" w:eastAsia="宋体" w:cs="宋体"/>
          <w:color w:val="000000"/>
          <w:spacing w:val="-3"/>
          <w:sz w:val="24"/>
          <w:szCs w:val="24"/>
        </w:rPr>
        <w:t>燃烧废气中</w:t>
      </w:r>
      <w:r>
        <w:rPr>
          <w:rFonts w:ascii="Times New Roman" w:hAnsi="Times New Roman" w:eastAsia="Times New Roman" w:cs="Times New Roman"/>
          <w:color w:val="000000"/>
          <w:spacing w:val="-3"/>
          <w:sz w:val="24"/>
          <w:szCs w:val="24"/>
        </w:rPr>
        <w:t>SO</w:t>
      </w:r>
      <w:r>
        <w:rPr>
          <w:rFonts w:ascii="Times New Roman" w:hAnsi="Times New Roman" w:eastAsia="Times New Roman" w:cs="Times New Roman"/>
          <w:color w:val="000000"/>
          <w:sz w:val="24"/>
          <w:szCs w:val="24"/>
          <w:vertAlign w:val="subscript"/>
        </w:rPr>
        <w:t>2</w:t>
      </w:r>
      <w:r>
        <w:rPr>
          <w:rFonts w:ascii="宋体" w:hAnsi="宋体" w:eastAsia="宋体" w:cs="宋体"/>
          <w:color w:val="000000"/>
          <w:spacing w:val="-3"/>
          <w:sz w:val="24"/>
          <w:szCs w:val="24"/>
        </w:rPr>
        <w:t>浓度</w:t>
      </w:r>
      <w:r>
        <w:rPr>
          <w:rFonts w:ascii="宋体" w:hAnsi="宋体" w:eastAsia="宋体" w:cs="宋体"/>
          <w:color w:val="000000"/>
          <w:spacing w:val="-2"/>
          <w:sz w:val="24"/>
          <w:szCs w:val="24"/>
        </w:rPr>
        <w:t>波动范围较大，通常</w:t>
      </w:r>
      <w:r>
        <w:rPr>
          <w:rFonts w:ascii="宋体" w:hAnsi="宋体" w:eastAsia="宋体" w:cs="宋体"/>
          <w:color w:val="000000"/>
          <w:spacing w:val="-5"/>
          <w:sz w:val="24"/>
          <w:szCs w:val="24"/>
        </w:rPr>
        <w:t>在</w:t>
      </w:r>
      <w:r>
        <w:rPr>
          <w:rFonts w:ascii="Times New Roman" w:hAnsi="Times New Roman" w:eastAsia="Times New Roman" w:cs="Times New Roman"/>
          <w:color w:val="000000"/>
          <w:spacing w:val="-1"/>
          <w:sz w:val="24"/>
          <w:szCs w:val="24"/>
        </w:rPr>
        <w:t>30~15</w:t>
      </w:r>
      <w:r>
        <w:rPr>
          <w:rFonts w:ascii="Times New Roman" w:hAnsi="Times New Roman" w:eastAsia="Times New Roman" w:cs="Times New Roman"/>
          <w:color w:val="000000"/>
          <w:spacing w:val="-2"/>
          <w:sz w:val="24"/>
          <w:szCs w:val="24"/>
        </w:rPr>
        <w:t>0</w:t>
      </w:r>
      <w:r>
        <w:rPr>
          <w:rFonts w:hint="eastAsia" w:ascii="Times New Roman" w:hAnsi="Times New Roman" w:eastAsia="宋体" w:cs="Times New Roman"/>
          <w:color w:val="000000"/>
          <w:spacing w:val="-2"/>
          <w:sz w:val="24"/>
          <w:szCs w:val="24"/>
          <w:lang w:eastAsia="zh-CN"/>
        </w:rPr>
        <w:t>（</w:t>
      </w:r>
      <w:r>
        <w:rPr>
          <w:rFonts w:ascii="Times New Roman" w:hAnsi="Times New Roman" w:eastAsia="Times New Roman" w:cs="Times New Roman"/>
          <w:color w:val="000000"/>
          <w:spacing w:val="-1"/>
          <w:sz w:val="24"/>
          <w:szCs w:val="24"/>
        </w:rPr>
        <w:t>mg/Nm</w:t>
      </w:r>
      <w:r>
        <w:rPr>
          <w:rFonts w:ascii="Times New Roman" w:hAnsi="Times New Roman" w:eastAsia="Times New Roman" w:cs="Times New Roman"/>
          <w:color w:val="000000"/>
          <w:spacing w:val="-3"/>
          <w:sz w:val="24"/>
          <w:szCs w:val="24"/>
          <w:vertAlign w:val="superscript"/>
        </w:rPr>
        <w:t>3</w:t>
      </w:r>
      <w:r>
        <w:rPr>
          <w:rFonts w:hint="eastAsia" w:ascii="Times New Roman" w:hAnsi="Times New Roman" w:eastAsia="宋体" w:cs="Times New Roman"/>
          <w:color w:val="000000"/>
          <w:spacing w:val="-2"/>
          <w:sz w:val="24"/>
          <w:szCs w:val="24"/>
          <w:lang w:eastAsia="zh-CN"/>
        </w:rPr>
        <w:t>）</w:t>
      </w:r>
      <w:r>
        <w:rPr>
          <w:rFonts w:ascii="宋体" w:hAnsi="宋体" w:eastAsia="宋体" w:cs="宋体"/>
          <w:color w:val="000000"/>
          <w:spacing w:val="-2"/>
          <w:sz w:val="24"/>
          <w:szCs w:val="24"/>
        </w:rPr>
        <w:t>，</w:t>
      </w:r>
      <w:r>
        <w:rPr>
          <w:rFonts w:ascii="Times New Roman" w:hAnsi="Times New Roman" w:eastAsia="Times New Roman" w:cs="Times New Roman"/>
          <w:color w:val="000000"/>
          <w:spacing w:val="-4"/>
          <w:sz w:val="24"/>
          <w:szCs w:val="24"/>
        </w:rPr>
        <w:t>NOx</w:t>
      </w:r>
      <w:r>
        <w:rPr>
          <w:rFonts w:ascii="宋体" w:hAnsi="宋体" w:eastAsia="宋体" w:cs="宋体"/>
          <w:color w:val="000000"/>
          <w:spacing w:val="-6"/>
          <w:sz w:val="24"/>
          <w:szCs w:val="24"/>
        </w:rPr>
        <w:t>浓度约在</w:t>
      </w:r>
      <w:r>
        <w:rPr>
          <w:rFonts w:ascii="Times New Roman" w:hAnsi="Times New Roman" w:eastAsia="Times New Roman" w:cs="Times New Roman"/>
          <w:color w:val="000000"/>
          <w:spacing w:val="-3"/>
          <w:sz w:val="24"/>
          <w:szCs w:val="24"/>
        </w:rPr>
        <w:t>100</w:t>
      </w:r>
      <w:r>
        <w:rPr>
          <w:rFonts w:ascii="宋体" w:hAnsi="宋体" w:eastAsia="宋体" w:cs="宋体"/>
          <w:color w:val="000000"/>
          <w:spacing w:val="-5"/>
          <w:sz w:val="24"/>
          <w:szCs w:val="24"/>
        </w:rPr>
        <w:t>～</w:t>
      </w:r>
      <w:r>
        <w:rPr>
          <w:rFonts w:ascii="Times New Roman" w:hAnsi="Times New Roman" w:eastAsia="Times New Roman" w:cs="Times New Roman"/>
          <w:color w:val="000000"/>
          <w:spacing w:val="-3"/>
          <w:sz w:val="24"/>
          <w:szCs w:val="24"/>
        </w:rPr>
        <w:t>150</w:t>
      </w:r>
      <w:r>
        <w:rPr>
          <w:rFonts w:hint="eastAsia" w:ascii="Times New Roman" w:hAnsi="Times New Roman" w:eastAsia="宋体" w:cs="Times New Roman"/>
          <w:color w:val="000000"/>
          <w:spacing w:val="-3"/>
          <w:sz w:val="24"/>
          <w:szCs w:val="24"/>
          <w:lang w:eastAsia="zh-CN"/>
        </w:rPr>
        <w:t>（</w:t>
      </w:r>
      <w:r>
        <w:rPr>
          <w:rFonts w:ascii="Times New Roman" w:hAnsi="Times New Roman" w:eastAsia="Times New Roman" w:cs="Times New Roman"/>
          <w:color w:val="000000"/>
          <w:spacing w:val="-3"/>
          <w:sz w:val="24"/>
          <w:szCs w:val="24"/>
        </w:rPr>
        <w:t>mg/Nm</w:t>
      </w:r>
      <w:r>
        <w:rPr>
          <w:rFonts w:ascii="Times New Roman" w:hAnsi="Times New Roman" w:eastAsia="Times New Roman" w:cs="Times New Roman"/>
          <w:color w:val="000000"/>
          <w:spacing w:val="-5"/>
          <w:sz w:val="24"/>
          <w:szCs w:val="24"/>
          <w:vertAlign w:val="superscript"/>
        </w:rPr>
        <w:t>3</w:t>
      </w:r>
      <w:r>
        <w:rPr>
          <w:rFonts w:hint="eastAsia" w:ascii="Times New Roman" w:hAnsi="Times New Roman" w:eastAsia="宋体" w:cs="Times New Roman"/>
          <w:color w:val="000000"/>
          <w:spacing w:val="-3"/>
          <w:sz w:val="24"/>
          <w:szCs w:val="24"/>
          <w:lang w:eastAsia="zh-CN"/>
        </w:rPr>
        <w:t>）</w:t>
      </w:r>
      <w:r>
        <w:rPr>
          <w:rFonts w:ascii="宋体" w:hAnsi="宋体" w:eastAsia="宋体" w:cs="宋体"/>
          <w:color w:val="000000"/>
          <w:spacing w:val="-6"/>
          <w:sz w:val="24"/>
          <w:szCs w:val="24"/>
        </w:rPr>
        <w:t>之间，若采用低氮燃烧技术，</w:t>
      </w:r>
      <w:r>
        <w:rPr>
          <w:rFonts w:ascii="Times New Roman" w:hAnsi="Times New Roman" w:eastAsia="Times New Roman" w:cs="Times New Roman"/>
          <w:color w:val="000000"/>
          <w:spacing w:val="-3"/>
          <w:sz w:val="24"/>
          <w:szCs w:val="24"/>
        </w:rPr>
        <w:t>NOx</w:t>
      </w:r>
      <w:r>
        <w:rPr>
          <w:rFonts w:ascii="宋体" w:hAnsi="宋体" w:eastAsia="宋体" w:cs="宋体"/>
          <w:color w:val="000000"/>
          <w:spacing w:val="-6"/>
          <w:sz w:val="24"/>
          <w:szCs w:val="24"/>
        </w:rPr>
        <w:t>浓度可降至</w:t>
      </w:r>
      <w:r>
        <w:rPr>
          <w:rFonts w:ascii="Times New Roman" w:hAnsi="Times New Roman" w:eastAsia="Times New Roman" w:cs="Times New Roman"/>
          <w:color w:val="000000"/>
          <w:spacing w:val="-3"/>
          <w:sz w:val="24"/>
          <w:szCs w:val="24"/>
        </w:rPr>
        <w:t>100</w:t>
      </w:r>
      <w:r>
        <w:rPr>
          <w:rFonts w:ascii="Times New Roman" w:hAnsi="Times New Roman" w:eastAsia="Times New Roman" w:cs="Times New Roman"/>
          <w:color w:val="000000"/>
          <w:spacing w:val="-4"/>
          <w:sz w:val="24"/>
          <w:szCs w:val="24"/>
        </w:rPr>
        <w:t>mg/Nm</w:t>
      </w:r>
      <w:r>
        <w:rPr>
          <w:rFonts w:ascii="Times New Roman" w:hAnsi="Times New Roman" w:eastAsia="Times New Roman" w:cs="Times New Roman"/>
          <w:color w:val="000000"/>
          <w:spacing w:val="-1"/>
          <w:sz w:val="24"/>
          <w:szCs w:val="24"/>
          <w:vertAlign w:val="superscript"/>
        </w:rPr>
        <w:t>3</w:t>
      </w:r>
      <w:r>
        <w:rPr>
          <w:rFonts w:ascii="宋体" w:hAnsi="宋体" w:eastAsia="宋体" w:cs="宋体"/>
          <w:color w:val="000000"/>
          <w:spacing w:val="-6"/>
          <w:sz w:val="24"/>
          <w:szCs w:val="24"/>
        </w:rPr>
        <w:t>以下。</w:t>
      </w:r>
    </w:p>
    <w:p w14:paraId="730647C2">
      <w:pPr>
        <w:spacing w:line="360" w:lineRule="auto"/>
        <w:ind w:firstLine="482" w:firstLineChars="200"/>
        <w:jc w:val="center"/>
        <w:rPr>
          <w:rFonts w:hint="eastAsia" w:ascii="Times New Roman" w:hAnsi="Times New Roman"/>
          <w:b/>
          <w:bCs/>
          <w:color w:val="000000" w:themeColor="text1"/>
          <w:lang w:val="en-US" w:eastAsia="zh-CN"/>
          <w14:textFill>
            <w14:solidFill>
              <w14:schemeClr w14:val="tx1"/>
            </w14:solidFill>
          </w14:textFill>
        </w:rPr>
      </w:pPr>
      <w:r>
        <w:rPr>
          <w:rFonts w:hint="eastAsia" w:ascii="Times New Roman" w:hAnsi="Times New Roman"/>
          <w:b/>
          <w:bCs/>
          <w:color w:val="000000" w:themeColor="text1"/>
          <w:lang w:val="en-US" w:eastAsia="zh-CN"/>
          <w14:textFill>
            <w14:solidFill>
              <w14:schemeClr w14:val="tx1"/>
            </w14:solidFill>
          </w14:textFill>
        </w:rPr>
        <w:t>表4-5炼铁工序粉尘特性</w:t>
      </w:r>
    </w:p>
    <w:tbl>
      <w:tblPr>
        <w:tblStyle w:val="17"/>
        <w:tblW w:w="5000" w:type="pct"/>
        <w:jc w:val="center"/>
        <w:tblLayout w:type="fixed"/>
        <w:tblCellMar>
          <w:top w:w="0" w:type="dxa"/>
          <w:left w:w="0" w:type="dxa"/>
          <w:bottom w:w="0" w:type="dxa"/>
          <w:right w:w="0" w:type="dxa"/>
        </w:tblCellMar>
      </w:tblPr>
      <w:tblGrid>
        <w:gridCol w:w="622"/>
        <w:gridCol w:w="714"/>
        <w:gridCol w:w="924"/>
        <w:gridCol w:w="819"/>
        <w:gridCol w:w="821"/>
        <w:gridCol w:w="818"/>
        <w:gridCol w:w="720"/>
        <w:gridCol w:w="714"/>
        <w:gridCol w:w="720"/>
        <w:gridCol w:w="713"/>
        <w:gridCol w:w="727"/>
      </w:tblGrid>
      <w:tr w14:paraId="0388ACDC">
        <w:tblPrEx>
          <w:tblCellMar>
            <w:top w:w="0" w:type="dxa"/>
            <w:left w:w="0" w:type="dxa"/>
            <w:bottom w:w="0" w:type="dxa"/>
            <w:right w:w="0" w:type="dxa"/>
          </w:tblCellMar>
        </w:tblPrEx>
        <w:trPr>
          <w:trHeight w:val="379" w:hRule="exact"/>
          <w:jc w:val="center"/>
        </w:trPr>
        <w:tc>
          <w:tcPr>
            <w:tcW w:w="655" w:type="dxa"/>
            <w:vMerge w:val="restart"/>
            <w:tcBorders>
              <w:top w:val="single" w:color="000000" w:sz="2" w:space="0"/>
              <w:left w:val="single" w:color="000000" w:sz="2" w:space="0"/>
              <w:bottom w:val="single" w:color="000000" w:sz="2" w:space="0"/>
              <w:right w:val="single" w:color="000000" w:sz="2" w:space="0"/>
            </w:tcBorders>
            <w:vAlign w:val="center"/>
          </w:tcPr>
          <w:p w14:paraId="765B330F">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生产</w:t>
            </w:r>
          </w:p>
          <w:p w14:paraId="5B59E511">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流程</w:t>
            </w:r>
          </w:p>
        </w:tc>
        <w:tc>
          <w:tcPr>
            <w:tcW w:w="751" w:type="dxa"/>
            <w:vMerge w:val="restart"/>
            <w:tcBorders>
              <w:top w:val="single" w:color="000000" w:sz="2" w:space="0"/>
              <w:left w:val="single" w:color="000000" w:sz="2" w:space="0"/>
              <w:bottom w:val="single" w:color="000000" w:sz="2" w:space="0"/>
              <w:right w:val="single" w:color="000000" w:sz="2" w:space="0"/>
            </w:tcBorders>
            <w:vAlign w:val="center"/>
          </w:tcPr>
          <w:p w14:paraId="0F9B9146">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产尘</w:t>
            </w:r>
          </w:p>
          <w:p w14:paraId="077175F3">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点</w:t>
            </w:r>
          </w:p>
        </w:tc>
        <w:tc>
          <w:tcPr>
            <w:tcW w:w="972" w:type="dxa"/>
            <w:vMerge w:val="restart"/>
            <w:tcBorders>
              <w:top w:val="single" w:color="000000" w:sz="2" w:space="0"/>
              <w:left w:val="single" w:color="000000" w:sz="2" w:space="0"/>
              <w:bottom w:val="single" w:color="000000" w:sz="2" w:space="0"/>
              <w:right w:val="single" w:color="000000" w:sz="2" w:space="0"/>
            </w:tcBorders>
            <w:vAlign w:val="center"/>
          </w:tcPr>
          <w:p w14:paraId="0FA169B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密度</w:t>
            </w:r>
          </w:p>
          <w:p w14:paraId="3EAAD986">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（g/cm</w:t>
            </w:r>
            <w:r>
              <w:rPr>
                <w:rFonts w:hint="eastAsia" w:ascii="Times New Roman" w:hAnsi="Times New Roman" w:eastAsia="Times New Roman" w:cs="Times New Roman"/>
                <w:b/>
                <w:color w:val="000000"/>
                <w:spacing w:val="-1"/>
                <w:sz w:val="21"/>
                <w:szCs w:val="21"/>
                <w:vertAlign w:val="superscript"/>
                <w:lang w:val="en-US" w:eastAsia="zh-CN"/>
              </w:rPr>
              <w:t>3</w:t>
            </w:r>
            <w:r>
              <w:rPr>
                <w:rFonts w:hint="eastAsia" w:ascii="Times New Roman" w:hAnsi="Times New Roman" w:eastAsia="Times New Roman" w:cs="Times New Roman"/>
                <w:b/>
                <w:color w:val="000000"/>
                <w:spacing w:val="-1"/>
                <w:sz w:val="21"/>
                <w:szCs w:val="21"/>
                <w:lang w:val="en-US" w:eastAsia="zh-CN"/>
              </w:rPr>
              <w:t>）</w:t>
            </w:r>
          </w:p>
        </w:tc>
        <w:tc>
          <w:tcPr>
            <w:tcW w:w="2587" w:type="dxa"/>
            <w:gridSpan w:val="3"/>
            <w:tcBorders>
              <w:top w:val="single" w:color="000000" w:sz="2" w:space="0"/>
              <w:left w:val="single" w:color="000000" w:sz="2" w:space="0"/>
              <w:bottom w:val="single" w:color="000000" w:sz="2" w:space="0"/>
              <w:right w:val="single" w:color="000000" w:sz="2" w:space="0"/>
            </w:tcBorders>
            <w:vAlign w:val="center"/>
          </w:tcPr>
          <w:p w14:paraId="016A6FE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质量粒径分布（%）</w:t>
            </w:r>
          </w:p>
        </w:tc>
        <w:tc>
          <w:tcPr>
            <w:tcW w:w="3017" w:type="dxa"/>
            <w:gridSpan w:val="4"/>
            <w:tcBorders>
              <w:top w:val="single" w:color="000000" w:sz="2" w:space="0"/>
              <w:left w:val="single" w:color="000000" w:sz="2" w:space="0"/>
              <w:bottom w:val="single" w:color="000000" w:sz="2" w:space="0"/>
              <w:right w:val="single" w:color="000000" w:sz="2" w:space="0"/>
            </w:tcBorders>
            <w:vAlign w:val="center"/>
          </w:tcPr>
          <w:p w14:paraId="7987F4E0">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化学成分（%）</w:t>
            </w:r>
          </w:p>
        </w:tc>
        <w:tc>
          <w:tcPr>
            <w:tcW w:w="765" w:type="dxa"/>
            <w:vMerge w:val="restart"/>
            <w:tcBorders>
              <w:top w:val="single" w:color="000000" w:sz="2" w:space="0"/>
              <w:left w:val="single" w:color="000000" w:sz="2" w:space="0"/>
              <w:bottom w:val="single" w:color="000000" w:sz="2" w:space="0"/>
              <w:right w:val="single" w:color="000000" w:sz="2" w:space="0"/>
            </w:tcBorders>
            <w:vAlign w:val="center"/>
          </w:tcPr>
          <w:p w14:paraId="6864A8F0">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游离</w:t>
            </w:r>
          </w:p>
          <w:p w14:paraId="052D5D4A">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SiO</w:t>
            </w:r>
            <w:r>
              <w:rPr>
                <w:rFonts w:hint="eastAsia" w:ascii="Times New Roman" w:hAnsi="Times New Roman" w:eastAsia="Times New Roman" w:cs="Times New Roman"/>
                <w:b/>
                <w:color w:val="000000"/>
                <w:spacing w:val="-1"/>
                <w:sz w:val="21"/>
                <w:szCs w:val="21"/>
                <w:vertAlign w:val="subscript"/>
                <w:lang w:val="en-US" w:eastAsia="zh-CN"/>
              </w:rPr>
              <w:t>2</w:t>
            </w:r>
            <w:r>
              <w:rPr>
                <w:rFonts w:hint="eastAsia" w:ascii="Times New Roman" w:hAnsi="Times New Roman" w:eastAsia="Times New Roman" w:cs="Times New Roman"/>
                <w:b/>
                <w:color w:val="000000"/>
                <w:spacing w:val="-1"/>
                <w:sz w:val="21"/>
                <w:szCs w:val="21"/>
                <w:lang w:val="en-US" w:eastAsia="zh-CN"/>
              </w:rPr>
              <w:t>（%）</w:t>
            </w:r>
          </w:p>
        </w:tc>
      </w:tr>
      <w:tr w14:paraId="28798732">
        <w:tblPrEx>
          <w:tblCellMar>
            <w:top w:w="0" w:type="dxa"/>
            <w:left w:w="0" w:type="dxa"/>
            <w:bottom w:w="0" w:type="dxa"/>
            <w:right w:w="0" w:type="dxa"/>
          </w:tblCellMar>
        </w:tblPrEx>
        <w:trPr>
          <w:trHeight w:val="379" w:hRule="exact"/>
          <w:jc w:val="center"/>
        </w:trPr>
        <w:tc>
          <w:tcPr>
            <w:tcW w:w="655" w:type="dxa"/>
            <w:vMerge w:val="continue"/>
            <w:tcBorders>
              <w:top w:val="single" w:color="000000" w:sz="2" w:space="0"/>
              <w:left w:val="single" w:color="000000" w:sz="2" w:space="0"/>
              <w:bottom w:val="single" w:color="000000" w:sz="2" w:space="0"/>
              <w:right w:val="single" w:color="000000" w:sz="2" w:space="0"/>
            </w:tcBorders>
            <w:vAlign w:val="center"/>
          </w:tcPr>
          <w:p w14:paraId="177191AA">
            <w:pPr>
              <w:keepNext w:val="0"/>
              <w:keepLines w:val="0"/>
              <w:pageBreakBefore w:val="0"/>
              <w:widowControl w:val="0"/>
              <w:kinsoku/>
              <w:wordWrap/>
              <w:overflowPunct/>
              <w:topLinePunct w:val="0"/>
              <w:bidi w:val="0"/>
              <w:adjustRightInd/>
              <w:snapToGrid/>
              <w:spacing w:line="0" w:lineRule="atLeast"/>
              <w:ind w:left="0" w:firstLine="0" w:firstLineChars="0"/>
              <w:jc w:val="center"/>
              <w:textAlignment w:val="auto"/>
              <w:rPr>
                <w:sz w:val="21"/>
                <w:szCs w:val="21"/>
              </w:rPr>
            </w:pPr>
          </w:p>
        </w:tc>
        <w:tc>
          <w:tcPr>
            <w:tcW w:w="751" w:type="dxa"/>
            <w:vMerge w:val="continue"/>
            <w:tcBorders>
              <w:top w:val="single" w:color="000000" w:sz="2" w:space="0"/>
              <w:left w:val="single" w:color="000000" w:sz="2" w:space="0"/>
              <w:bottom w:val="single" w:color="000000" w:sz="2" w:space="0"/>
              <w:right w:val="single" w:color="000000" w:sz="2" w:space="0"/>
            </w:tcBorders>
            <w:vAlign w:val="center"/>
          </w:tcPr>
          <w:p w14:paraId="6BE9DDF7">
            <w:pPr>
              <w:keepNext w:val="0"/>
              <w:keepLines w:val="0"/>
              <w:pageBreakBefore w:val="0"/>
              <w:widowControl w:val="0"/>
              <w:kinsoku/>
              <w:wordWrap/>
              <w:overflowPunct/>
              <w:topLinePunct w:val="0"/>
              <w:bidi w:val="0"/>
              <w:adjustRightInd/>
              <w:snapToGrid/>
              <w:spacing w:line="0" w:lineRule="atLeast"/>
              <w:ind w:left="0" w:firstLine="0" w:firstLineChars="0"/>
              <w:jc w:val="center"/>
              <w:textAlignment w:val="auto"/>
              <w:rPr>
                <w:sz w:val="21"/>
                <w:szCs w:val="21"/>
              </w:rPr>
            </w:pPr>
          </w:p>
        </w:tc>
        <w:tc>
          <w:tcPr>
            <w:tcW w:w="972" w:type="dxa"/>
            <w:vMerge w:val="continue"/>
            <w:tcBorders>
              <w:top w:val="single" w:color="000000" w:sz="2" w:space="0"/>
              <w:left w:val="single" w:color="000000" w:sz="2" w:space="0"/>
              <w:bottom w:val="single" w:color="000000" w:sz="2" w:space="0"/>
              <w:right w:val="single" w:color="000000" w:sz="2" w:space="0"/>
            </w:tcBorders>
            <w:vAlign w:val="center"/>
          </w:tcPr>
          <w:p w14:paraId="7E0F05C4">
            <w:pPr>
              <w:keepNext w:val="0"/>
              <w:keepLines w:val="0"/>
              <w:pageBreakBefore w:val="0"/>
              <w:widowControl w:val="0"/>
              <w:kinsoku/>
              <w:wordWrap/>
              <w:overflowPunct/>
              <w:topLinePunct w:val="0"/>
              <w:bidi w:val="0"/>
              <w:adjustRightInd/>
              <w:snapToGrid/>
              <w:spacing w:line="0" w:lineRule="atLeast"/>
              <w:ind w:left="0" w:firstLine="0" w:firstLineChars="0"/>
              <w:jc w:val="center"/>
              <w:textAlignment w:val="auto"/>
              <w:rPr>
                <w:sz w:val="21"/>
                <w:szCs w:val="21"/>
              </w:rPr>
            </w:pPr>
          </w:p>
        </w:tc>
        <w:tc>
          <w:tcPr>
            <w:tcW w:w="862" w:type="dxa"/>
            <w:tcBorders>
              <w:top w:val="single" w:color="000000" w:sz="2" w:space="0"/>
              <w:left w:val="single" w:color="000000" w:sz="2" w:space="0"/>
              <w:bottom w:val="single" w:color="000000" w:sz="2" w:space="0"/>
              <w:right w:val="single" w:color="000000" w:sz="2" w:space="0"/>
            </w:tcBorders>
            <w:vAlign w:val="center"/>
          </w:tcPr>
          <w:p w14:paraId="0A203CA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&gt;10µm</w:t>
            </w:r>
          </w:p>
        </w:tc>
        <w:tc>
          <w:tcPr>
            <w:tcW w:w="864" w:type="dxa"/>
            <w:tcBorders>
              <w:top w:val="single" w:color="000000" w:sz="2" w:space="0"/>
              <w:left w:val="single" w:color="000000" w:sz="2" w:space="0"/>
              <w:bottom w:val="single" w:color="000000" w:sz="2" w:space="0"/>
              <w:right w:val="single" w:color="000000" w:sz="2" w:space="0"/>
            </w:tcBorders>
            <w:vAlign w:val="center"/>
          </w:tcPr>
          <w:p w14:paraId="317EAEA4">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5~10µm</w:t>
            </w:r>
          </w:p>
        </w:tc>
        <w:tc>
          <w:tcPr>
            <w:tcW w:w="861" w:type="dxa"/>
            <w:tcBorders>
              <w:top w:val="single" w:color="000000" w:sz="2" w:space="0"/>
              <w:left w:val="single" w:color="000000" w:sz="2" w:space="0"/>
              <w:bottom w:val="single" w:color="000000" w:sz="2" w:space="0"/>
              <w:right w:val="single" w:color="000000" w:sz="2" w:space="0"/>
            </w:tcBorders>
            <w:vAlign w:val="center"/>
          </w:tcPr>
          <w:p w14:paraId="1EDB041E">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&lt;10µm</w:t>
            </w:r>
          </w:p>
        </w:tc>
        <w:tc>
          <w:tcPr>
            <w:tcW w:w="758" w:type="dxa"/>
            <w:tcBorders>
              <w:top w:val="single" w:color="000000" w:sz="2" w:space="0"/>
              <w:left w:val="single" w:color="000000" w:sz="2" w:space="0"/>
              <w:bottom w:val="single" w:color="000000" w:sz="2" w:space="0"/>
              <w:right w:val="single" w:color="000000" w:sz="2" w:space="0"/>
            </w:tcBorders>
            <w:vAlign w:val="center"/>
          </w:tcPr>
          <w:p w14:paraId="4405CAB8">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TFe</w:t>
            </w:r>
          </w:p>
        </w:tc>
        <w:tc>
          <w:tcPr>
            <w:tcW w:w="751" w:type="dxa"/>
            <w:tcBorders>
              <w:top w:val="single" w:color="000000" w:sz="2" w:space="0"/>
              <w:left w:val="single" w:color="000000" w:sz="2" w:space="0"/>
              <w:bottom w:val="single" w:color="000000" w:sz="2" w:space="0"/>
              <w:right w:val="single" w:color="000000" w:sz="2" w:space="0"/>
            </w:tcBorders>
            <w:vAlign w:val="center"/>
          </w:tcPr>
          <w:p w14:paraId="168E6066">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SiO</w:t>
            </w:r>
            <w:r>
              <w:rPr>
                <w:rFonts w:hint="eastAsia" w:ascii="Times New Roman" w:hAnsi="Times New Roman" w:eastAsia="Times New Roman" w:cs="Times New Roman"/>
                <w:b/>
                <w:color w:val="000000"/>
                <w:spacing w:val="-1"/>
                <w:sz w:val="21"/>
                <w:szCs w:val="21"/>
                <w:vertAlign w:val="subscript"/>
                <w:lang w:val="en-US" w:eastAsia="zh-CN"/>
              </w:rPr>
              <w:t>2</w:t>
            </w:r>
          </w:p>
        </w:tc>
        <w:tc>
          <w:tcPr>
            <w:tcW w:w="758" w:type="dxa"/>
            <w:tcBorders>
              <w:top w:val="single" w:color="000000" w:sz="2" w:space="0"/>
              <w:left w:val="single" w:color="000000" w:sz="2" w:space="0"/>
              <w:bottom w:val="single" w:color="000000" w:sz="2" w:space="0"/>
              <w:right w:val="single" w:color="000000" w:sz="2" w:space="0"/>
            </w:tcBorders>
            <w:vAlign w:val="center"/>
          </w:tcPr>
          <w:p w14:paraId="3CB56B07">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CaO</w:t>
            </w:r>
          </w:p>
        </w:tc>
        <w:tc>
          <w:tcPr>
            <w:tcW w:w="749" w:type="dxa"/>
            <w:tcBorders>
              <w:top w:val="single" w:color="000000" w:sz="2" w:space="0"/>
              <w:left w:val="single" w:color="000000" w:sz="2" w:space="0"/>
              <w:bottom w:val="single" w:color="000000" w:sz="2" w:space="0"/>
              <w:right w:val="single" w:color="000000" w:sz="2" w:space="0"/>
            </w:tcBorders>
            <w:vAlign w:val="center"/>
          </w:tcPr>
          <w:p w14:paraId="3FD36797">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Times New Roman" w:cs="Times New Roman"/>
                <w:b/>
                <w:color w:val="000000"/>
                <w:spacing w:val="-1"/>
                <w:sz w:val="21"/>
                <w:szCs w:val="21"/>
                <w:lang w:val="en-US" w:eastAsia="zh-CN"/>
              </w:rPr>
            </w:pPr>
            <w:r>
              <w:rPr>
                <w:rFonts w:hint="eastAsia" w:ascii="Times New Roman" w:hAnsi="Times New Roman" w:eastAsia="Times New Roman" w:cs="Times New Roman"/>
                <w:b/>
                <w:color w:val="000000"/>
                <w:spacing w:val="-1"/>
                <w:sz w:val="21"/>
                <w:szCs w:val="21"/>
                <w:lang w:val="en-US" w:eastAsia="zh-CN"/>
              </w:rPr>
              <w:t>MgO</w:t>
            </w:r>
          </w:p>
        </w:tc>
        <w:tc>
          <w:tcPr>
            <w:tcW w:w="765" w:type="dxa"/>
            <w:vMerge w:val="continue"/>
            <w:tcBorders>
              <w:top w:val="single" w:color="000000" w:sz="2" w:space="0"/>
              <w:left w:val="single" w:color="000000" w:sz="2" w:space="0"/>
              <w:bottom w:val="single" w:color="000000" w:sz="2" w:space="0"/>
              <w:right w:val="single" w:color="000000" w:sz="2" w:space="0"/>
            </w:tcBorders>
            <w:vAlign w:val="center"/>
          </w:tcPr>
          <w:p w14:paraId="06EA6FC3">
            <w:pPr>
              <w:keepNext w:val="0"/>
              <w:keepLines w:val="0"/>
              <w:pageBreakBefore w:val="0"/>
              <w:widowControl w:val="0"/>
              <w:kinsoku/>
              <w:wordWrap/>
              <w:overflowPunct/>
              <w:topLinePunct w:val="0"/>
              <w:bidi w:val="0"/>
              <w:adjustRightInd/>
              <w:snapToGrid/>
              <w:spacing w:line="0" w:lineRule="atLeast"/>
              <w:ind w:left="0" w:firstLine="0" w:firstLineChars="0"/>
              <w:jc w:val="center"/>
              <w:textAlignment w:val="auto"/>
              <w:rPr>
                <w:sz w:val="21"/>
                <w:szCs w:val="21"/>
              </w:rPr>
            </w:pPr>
          </w:p>
        </w:tc>
      </w:tr>
      <w:tr w14:paraId="660AFD76">
        <w:tblPrEx>
          <w:tblCellMar>
            <w:top w:w="0" w:type="dxa"/>
            <w:left w:w="0" w:type="dxa"/>
            <w:bottom w:w="0" w:type="dxa"/>
            <w:right w:w="0" w:type="dxa"/>
          </w:tblCellMar>
        </w:tblPrEx>
        <w:trPr>
          <w:trHeight w:val="379" w:hRule="exact"/>
          <w:jc w:val="center"/>
        </w:trPr>
        <w:tc>
          <w:tcPr>
            <w:tcW w:w="655" w:type="dxa"/>
            <w:vMerge w:val="restart"/>
            <w:tcBorders>
              <w:top w:val="single" w:color="000000" w:sz="2" w:space="0"/>
              <w:left w:val="single" w:color="000000" w:sz="2" w:space="0"/>
              <w:bottom w:val="single" w:color="000000" w:sz="2" w:space="0"/>
              <w:right w:val="single" w:color="000000" w:sz="2" w:space="0"/>
            </w:tcBorders>
            <w:vAlign w:val="center"/>
          </w:tcPr>
          <w:p w14:paraId="5E276726">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炼铁</w:t>
            </w:r>
          </w:p>
        </w:tc>
        <w:tc>
          <w:tcPr>
            <w:tcW w:w="751" w:type="dxa"/>
            <w:tcBorders>
              <w:top w:val="single" w:color="000000" w:sz="2" w:space="0"/>
              <w:left w:val="single" w:color="000000" w:sz="2" w:space="0"/>
              <w:bottom w:val="single" w:color="000000" w:sz="2" w:space="0"/>
              <w:right w:val="single" w:color="000000" w:sz="2" w:space="0"/>
            </w:tcBorders>
            <w:vAlign w:val="center"/>
          </w:tcPr>
          <w:p w14:paraId="7332F50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高炉</w:t>
            </w:r>
          </w:p>
        </w:tc>
        <w:tc>
          <w:tcPr>
            <w:tcW w:w="972" w:type="dxa"/>
            <w:tcBorders>
              <w:top w:val="single" w:color="000000" w:sz="2" w:space="0"/>
              <w:left w:val="single" w:color="000000" w:sz="2" w:space="0"/>
              <w:bottom w:val="single" w:color="000000" w:sz="2" w:space="0"/>
              <w:right w:val="single" w:color="000000" w:sz="2" w:space="0"/>
            </w:tcBorders>
            <w:vAlign w:val="center"/>
          </w:tcPr>
          <w:p w14:paraId="6685CB74">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3.31</w:t>
            </w:r>
          </w:p>
        </w:tc>
        <w:tc>
          <w:tcPr>
            <w:tcW w:w="862" w:type="dxa"/>
            <w:tcBorders>
              <w:top w:val="single" w:color="000000" w:sz="2" w:space="0"/>
              <w:left w:val="single" w:color="000000" w:sz="2" w:space="0"/>
              <w:bottom w:val="single" w:color="000000" w:sz="2" w:space="0"/>
              <w:right w:val="single" w:color="000000" w:sz="2" w:space="0"/>
            </w:tcBorders>
            <w:vAlign w:val="center"/>
          </w:tcPr>
          <w:p w14:paraId="43A3D36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88.9</w:t>
            </w:r>
          </w:p>
        </w:tc>
        <w:tc>
          <w:tcPr>
            <w:tcW w:w="864" w:type="dxa"/>
            <w:tcBorders>
              <w:top w:val="single" w:color="000000" w:sz="2" w:space="0"/>
              <w:left w:val="single" w:color="000000" w:sz="2" w:space="0"/>
              <w:bottom w:val="single" w:color="000000" w:sz="2" w:space="0"/>
              <w:right w:val="single" w:color="000000" w:sz="2" w:space="0"/>
            </w:tcBorders>
            <w:vAlign w:val="center"/>
          </w:tcPr>
          <w:p w14:paraId="47F439D3">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0.8</w:t>
            </w:r>
          </w:p>
        </w:tc>
        <w:tc>
          <w:tcPr>
            <w:tcW w:w="861" w:type="dxa"/>
            <w:tcBorders>
              <w:top w:val="single" w:color="000000" w:sz="2" w:space="0"/>
              <w:left w:val="single" w:color="000000" w:sz="2" w:space="0"/>
              <w:bottom w:val="single" w:color="000000" w:sz="2" w:space="0"/>
              <w:right w:val="single" w:color="000000" w:sz="2" w:space="0"/>
            </w:tcBorders>
            <w:vAlign w:val="center"/>
          </w:tcPr>
          <w:p w14:paraId="175899D3">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10.3</w:t>
            </w:r>
          </w:p>
        </w:tc>
        <w:tc>
          <w:tcPr>
            <w:tcW w:w="758" w:type="dxa"/>
            <w:tcBorders>
              <w:top w:val="single" w:color="000000" w:sz="2" w:space="0"/>
              <w:left w:val="single" w:color="000000" w:sz="2" w:space="0"/>
              <w:bottom w:val="single" w:color="000000" w:sz="2" w:space="0"/>
              <w:right w:val="single" w:color="000000" w:sz="2" w:space="0"/>
            </w:tcBorders>
            <w:vAlign w:val="center"/>
          </w:tcPr>
          <w:p w14:paraId="0BD9ACBD">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48.4</w:t>
            </w:r>
          </w:p>
        </w:tc>
        <w:tc>
          <w:tcPr>
            <w:tcW w:w="751" w:type="dxa"/>
            <w:tcBorders>
              <w:top w:val="single" w:color="000000" w:sz="2" w:space="0"/>
              <w:left w:val="single" w:color="000000" w:sz="2" w:space="0"/>
              <w:bottom w:val="single" w:color="000000" w:sz="2" w:space="0"/>
              <w:right w:val="single" w:color="000000" w:sz="2" w:space="0"/>
            </w:tcBorders>
            <w:vAlign w:val="center"/>
          </w:tcPr>
          <w:p w14:paraId="3F46081A">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12.8</w:t>
            </w:r>
          </w:p>
        </w:tc>
        <w:tc>
          <w:tcPr>
            <w:tcW w:w="758" w:type="dxa"/>
            <w:tcBorders>
              <w:top w:val="single" w:color="000000" w:sz="2" w:space="0"/>
              <w:left w:val="single" w:color="000000" w:sz="2" w:space="0"/>
              <w:bottom w:val="single" w:color="000000" w:sz="2" w:space="0"/>
              <w:right w:val="single" w:color="000000" w:sz="2" w:space="0"/>
            </w:tcBorders>
            <w:vAlign w:val="center"/>
          </w:tcPr>
          <w:p w14:paraId="3556CE96">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5.8</w:t>
            </w:r>
          </w:p>
        </w:tc>
        <w:tc>
          <w:tcPr>
            <w:tcW w:w="749" w:type="dxa"/>
            <w:tcBorders>
              <w:top w:val="single" w:color="000000" w:sz="2" w:space="0"/>
              <w:left w:val="single" w:color="000000" w:sz="2" w:space="0"/>
              <w:bottom w:val="single" w:color="000000" w:sz="2" w:space="0"/>
              <w:right w:val="single" w:color="000000" w:sz="2" w:space="0"/>
            </w:tcBorders>
            <w:vAlign w:val="center"/>
          </w:tcPr>
          <w:p w14:paraId="56593C18">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2.5</w:t>
            </w:r>
          </w:p>
        </w:tc>
        <w:tc>
          <w:tcPr>
            <w:tcW w:w="765" w:type="dxa"/>
            <w:tcBorders>
              <w:top w:val="single" w:color="000000" w:sz="2" w:space="0"/>
              <w:left w:val="single" w:color="000000" w:sz="2" w:space="0"/>
              <w:bottom w:val="single" w:color="000000" w:sz="2" w:space="0"/>
              <w:right w:val="single" w:color="000000" w:sz="2" w:space="0"/>
            </w:tcBorders>
            <w:vAlign w:val="center"/>
          </w:tcPr>
          <w:p w14:paraId="38D97DCC">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11.46</w:t>
            </w:r>
          </w:p>
        </w:tc>
      </w:tr>
      <w:tr w14:paraId="74FB46F3">
        <w:tblPrEx>
          <w:tblCellMar>
            <w:top w:w="0" w:type="dxa"/>
            <w:left w:w="0" w:type="dxa"/>
            <w:bottom w:w="0" w:type="dxa"/>
            <w:right w:w="0" w:type="dxa"/>
          </w:tblCellMar>
        </w:tblPrEx>
        <w:trPr>
          <w:trHeight w:val="379" w:hRule="exact"/>
          <w:jc w:val="center"/>
        </w:trPr>
        <w:tc>
          <w:tcPr>
            <w:tcW w:w="655" w:type="dxa"/>
            <w:vMerge w:val="continue"/>
            <w:tcBorders>
              <w:top w:val="single" w:color="000000" w:sz="2" w:space="0"/>
              <w:left w:val="single" w:color="000000" w:sz="2" w:space="0"/>
              <w:bottom w:val="single" w:color="000000" w:sz="2" w:space="0"/>
              <w:right w:val="single" w:color="000000" w:sz="2" w:space="0"/>
            </w:tcBorders>
            <w:vAlign w:val="center"/>
          </w:tcPr>
          <w:p w14:paraId="3EAAF12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p>
        </w:tc>
        <w:tc>
          <w:tcPr>
            <w:tcW w:w="751" w:type="dxa"/>
            <w:tcBorders>
              <w:top w:val="single" w:color="000000" w:sz="2" w:space="0"/>
              <w:left w:val="single" w:color="000000" w:sz="2" w:space="0"/>
              <w:bottom w:val="single" w:color="000000" w:sz="2" w:space="0"/>
              <w:right w:val="single" w:color="000000" w:sz="2" w:space="0"/>
            </w:tcBorders>
            <w:vAlign w:val="center"/>
          </w:tcPr>
          <w:p w14:paraId="3F2BBB4B">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矿槽</w:t>
            </w:r>
          </w:p>
        </w:tc>
        <w:tc>
          <w:tcPr>
            <w:tcW w:w="972" w:type="dxa"/>
            <w:tcBorders>
              <w:top w:val="single" w:color="000000" w:sz="2" w:space="0"/>
              <w:left w:val="single" w:color="000000" w:sz="2" w:space="0"/>
              <w:bottom w:val="single" w:color="000000" w:sz="2" w:space="0"/>
              <w:right w:val="single" w:color="000000" w:sz="2" w:space="0"/>
            </w:tcBorders>
            <w:vAlign w:val="center"/>
          </w:tcPr>
          <w:p w14:paraId="0A58FCD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3.89</w:t>
            </w:r>
          </w:p>
        </w:tc>
        <w:tc>
          <w:tcPr>
            <w:tcW w:w="862" w:type="dxa"/>
            <w:tcBorders>
              <w:top w:val="single" w:color="000000" w:sz="2" w:space="0"/>
              <w:left w:val="single" w:color="000000" w:sz="2" w:space="0"/>
              <w:bottom w:val="single" w:color="000000" w:sz="2" w:space="0"/>
              <w:right w:val="single" w:color="000000" w:sz="2" w:space="0"/>
            </w:tcBorders>
            <w:vAlign w:val="center"/>
          </w:tcPr>
          <w:p w14:paraId="0EA99306">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97.7</w:t>
            </w:r>
          </w:p>
        </w:tc>
        <w:tc>
          <w:tcPr>
            <w:tcW w:w="864" w:type="dxa"/>
            <w:tcBorders>
              <w:top w:val="single" w:color="000000" w:sz="2" w:space="0"/>
              <w:left w:val="single" w:color="000000" w:sz="2" w:space="0"/>
              <w:bottom w:val="single" w:color="000000" w:sz="2" w:space="0"/>
              <w:right w:val="single" w:color="000000" w:sz="2" w:space="0"/>
            </w:tcBorders>
            <w:vAlign w:val="center"/>
          </w:tcPr>
          <w:p w14:paraId="3278A393">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1.0</w:t>
            </w:r>
          </w:p>
        </w:tc>
        <w:tc>
          <w:tcPr>
            <w:tcW w:w="861" w:type="dxa"/>
            <w:tcBorders>
              <w:top w:val="single" w:color="000000" w:sz="2" w:space="0"/>
              <w:left w:val="single" w:color="000000" w:sz="2" w:space="0"/>
              <w:bottom w:val="single" w:color="000000" w:sz="2" w:space="0"/>
              <w:right w:val="single" w:color="000000" w:sz="2" w:space="0"/>
            </w:tcBorders>
            <w:vAlign w:val="center"/>
          </w:tcPr>
          <w:p w14:paraId="7611D29E">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1.3</w:t>
            </w:r>
          </w:p>
        </w:tc>
        <w:tc>
          <w:tcPr>
            <w:tcW w:w="758" w:type="dxa"/>
            <w:tcBorders>
              <w:top w:val="single" w:color="000000" w:sz="2" w:space="0"/>
              <w:left w:val="single" w:color="000000" w:sz="2" w:space="0"/>
              <w:bottom w:val="single" w:color="000000" w:sz="2" w:space="0"/>
              <w:right w:val="single" w:color="000000" w:sz="2" w:space="0"/>
            </w:tcBorders>
            <w:vAlign w:val="center"/>
          </w:tcPr>
          <w:p w14:paraId="0B03E9EA">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48.37</w:t>
            </w:r>
          </w:p>
        </w:tc>
        <w:tc>
          <w:tcPr>
            <w:tcW w:w="751" w:type="dxa"/>
            <w:tcBorders>
              <w:top w:val="single" w:color="000000" w:sz="2" w:space="0"/>
              <w:left w:val="single" w:color="000000" w:sz="2" w:space="0"/>
              <w:bottom w:val="single" w:color="000000" w:sz="2" w:space="0"/>
              <w:right w:val="single" w:color="000000" w:sz="2" w:space="0"/>
            </w:tcBorders>
            <w:vAlign w:val="center"/>
          </w:tcPr>
          <w:p w14:paraId="53C13704">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12.77</w:t>
            </w:r>
          </w:p>
        </w:tc>
        <w:tc>
          <w:tcPr>
            <w:tcW w:w="758" w:type="dxa"/>
            <w:tcBorders>
              <w:top w:val="single" w:color="000000" w:sz="2" w:space="0"/>
              <w:left w:val="single" w:color="000000" w:sz="2" w:space="0"/>
              <w:bottom w:val="single" w:color="000000" w:sz="2" w:space="0"/>
              <w:right w:val="single" w:color="000000" w:sz="2" w:space="0"/>
            </w:tcBorders>
            <w:vAlign w:val="center"/>
          </w:tcPr>
          <w:p w14:paraId="7A2B31F8">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5.84</w:t>
            </w:r>
          </w:p>
        </w:tc>
        <w:tc>
          <w:tcPr>
            <w:tcW w:w="749" w:type="dxa"/>
            <w:tcBorders>
              <w:top w:val="single" w:color="000000" w:sz="2" w:space="0"/>
              <w:left w:val="single" w:color="000000" w:sz="2" w:space="0"/>
              <w:bottom w:val="single" w:color="000000" w:sz="2" w:space="0"/>
              <w:right w:val="single" w:color="000000" w:sz="2" w:space="0"/>
            </w:tcBorders>
            <w:vAlign w:val="center"/>
          </w:tcPr>
          <w:p w14:paraId="725255F4">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2.46</w:t>
            </w:r>
          </w:p>
        </w:tc>
        <w:tc>
          <w:tcPr>
            <w:tcW w:w="765" w:type="dxa"/>
            <w:tcBorders>
              <w:top w:val="single" w:color="000000" w:sz="2" w:space="0"/>
              <w:left w:val="single" w:color="000000" w:sz="2" w:space="0"/>
              <w:bottom w:val="single" w:color="000000" w:sz="2" w:space="0"/>
              <w:right w:val="single" w:color="000000" w:sz="2" w:space="0"/>
            </w:tcBorders>
            <w:vAlign w:val="center"/>
          </w:tcPr>
          <w:p w14:paraId="5B87D74E">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11.46</w:t>
            </w:r>
          </w:p>
        </w:tc>
      </w:tr>
      <w:tr w14:paraId="6607724B">
        <w:tblPrEx>
          <w:tblCellMar>
            <w:top w:w="0" w:type="dxa"/>
            <w:left w:w="0" w:type="dxa"/>
            <w:bottom w:w="0" w:type="dxa"/>
            <w:right w:w="0" w:type="dxa"/>
          </w:tblCellMar>
        </w:tblPrEx>
        <w:trPr>
          <w:trHeight w:val="477" w:hRule="exact"/>
          <w:jc w:val="center"/>
        </w:trPr>
        <w:tc>
          <w:tcPr>
            <w:tcW w:w="655" w:type="dxa"/>
            <w:vMerge w:val="continue"/>
            <w:tcBorders>
              <w:top w:val="single" w:color="000000" w:sz="2" w:space="0"/>
              <w:left w:val="single" w:color="000000" w:sz="2" w:space="0"/>
              <w:bottom w:val="single" w:color="000000" w:sz="2" w:space="0"/>
              <w:right w:val="single" w:color="000000" w:sz="2" w:space="0"/>
            </w:tcBorders>
            <w:vAlign w:val="center"/>
          </w:tcPr>
          <w:p w14:paraId="78F0D98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p>
        </w:tc>
        <w:tc>
          <w:tcPr>
            <w:tcW w:w="751" w:type="dxa"/>
            <w:tcBorders>
              <w:top w:val="single" w:color="000000" w:sz="2" w:space="0"/>
              <w:left w:val="single" w:color="000000" w:sz="2" w:space="0"/>
              <w:bottom w:val="single" w:color="000000" w:sz="2" w:space="0"/>
              <w:right w:val="single" w:color="000000" w:sz="2" w:space="0"/>
            </w:tcBorders>
            <w:vAlign w:val="center"/>
          </w:tcPr>
          <w:p w14:paraId="65BC4C34">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eastAsia="zh-CN"/>
              </w:rPr>
            </w:pPr>
            <w:r>
              <w:rPr>
                <w:rFonts w:hint="eastAsia" w:ascii="Times New Roman" w:hAnsi="Times New Roman" w:eastAsia="宋体" w:cs="Times New Roman"/>
                <w:color w:val="000000"/>
                <w:spacing w:val="-4"/>
                <w:sz w:val="21"/>
                <w:szCs w:val="21"/>
                <w:lang w:val="en-US" w:eastAsia="zh-CN"/>
              </w:rPr>
              <w:t>出铁场</w:t>
            </w:r>
          </w:p>
        </w:tc>
        <w:tc>
          <w:tcPr>
            <w:tcW w:w="972" w:type="dxa"/>
            <w:tcBorders>
              <w:top w:val="single" w:color="000000" w:sz="2" w:space="0"/>
              <w:left w:val="single" w:color="000000" w:sz="2" w:space="0"/>
              <w:bottom w:val="single" w:color="000000" w:sz="2" w:space="0"/>
              <w:right w:val="single" w:color="000000" w:sz="2" w:space="0"/>
            </w:tcBorders>
            <w:vAlign w:val="center"/>
          </w:tcPr>
          <w:p w14:paraId="6EE8B650">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3.72</w:t>
            </w:r>
          </w:p>
        </w:tc>
        <w:tc>
          <w:tcPr>
            <w:tcW w:w="862" w:type="dxa"/>
            <w:tcBorders>
              <w:top w:val="single" w:color="000000" w:sz="2" w:space="0"/>
              <w:left w:val="single" w:color="000000" w:sz="2" w:space="0"/>
              <w:bottom w:val="single" w:color="000000" w:sz="2" w:space="0"/>
              <w:right w:val="single" w:color="000000" w:sz="2" w:space="0"/>
            </w:tcBorders>
            <w:vAlign w:val="center"/>
          </w:tcPr>
          <w:p w14:paraId="7775474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87.9</w:t>
            </w:r>
          </w:p>
        </w:tc>
        <w:tc>
          <w:tcPr>
            <w:tcW w:w="864" w:type="dxa"/>
            <w:tcBorders>
              <w:top w:val="single" w:color="000000" w:sz="2" w:space="0"/>
              <w:left w:val="single" w:color="000000" w:sz="2" w:space="0"/>
              <w:bottom w:val="single" w:color="000000" w:sz="2" w:space="0"/>
              <w:right w:val="single" w:color="000000" w:sz="2" w:space="0"/>
            </w:tcBorders>
            <w:vAlign w:val="center"/>
          </w:tcPr>
          <w:p w14:paraId="4F431AF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8.1</w:t>
            </w:r>
          </w:p>
        </w:tc>
        <w:tc>
          <w:tcPr>
            <w:tcW w:w="861" w:type="dxa"/>
            <w:tcBorders>
              <w:top w:val="single" w:color="000000" w:sz="2" w:space="0"/>
              <w:left w:val="single" w:color="000000" w:sz="2" w:space="0"/>
              <w:bottom w:val="single" w:color="000000" w:sz="2" w:space="0"/>
              <w:right w:val="single" w:color="000000" w:sz="2" w:space="0"/>
            </w:tcBorders>
            <w:vAlign w:val="center"/>
          </w:tcPr>
          <w:p w14:paraId="0C545427">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4.0</w:t>
            </w:r>
          </w:p>
        </w:tc>
        <w:tc>
          <w:tcPr>
            <w:tcW w:w="758" w:type="dxa"/>
            <w:tcBorders>
              <w:top w:val="single" w:color="000000" w:sz="2" w:space="0"/>
              <w:left w:val="single" w:color="000000" w:sz="2" w:space="0"/>
              <w:bottom w:val="single" w:color="000000" w:sz="2" w:space="0"/>
              <w:right w:val="single" w:color="000000" w:sz="2" w:space="0"/>
            </w:tcBorders>
            <w:vAlign w:val="center"/>
          </w:tcPr>
          <w:p w14:paraId="40E3200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55.27</w:t>
            </w:r>
          </w:p>
        </w:tc>
        <w:tc>
          <w:tcPr>
            <w:tcW w:w="751" w:type="dxa"/>
            <w:tcBorders>
              <w:top w:val="single" w:color="000000" w:sz="2" w:space="0"/>
              <w:left w:val="single" w:color="000000" w:sz="2" w:space="0"/>
              <w:bottom w:val="single" w:color="000000" w:sz="2" w:space="0"/>
              <w:right w:val="single" w:color="000000" w:sz="2" w:space="0"/>
            </w:tcBorders>
            <w:vAlign w:val="center"/>
          </w:tcPr>
          <w:p w14:paraId="1AEC93C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2.46</w:t>
            </w:r>
          </w:p>
        </w:tc>
        <w:tc>
          <w:tcPr>
            <w:tcW w:w="758" w:type="dxa"/>
            <w:tcBorders>
              <w:top w:val="single" w:color="000000" w:sz="2" w:space="0"/>
              <w:left w:val="single" w:color="000000" w:sz="2" w:space="0"/>
              <w:bottom w:val="single" w:color="000000" w:sz="2" w:space="0"/>
              <w:right w:val="single" w:color="000000" w:sz="2" w:space="0"/>
            </w:tcBorders>
            <w:vAlign w:val="center"/>
          </w:tcPr>
          <w:p w14:paraId="6C8CD3FB">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7.90</w:t>
            </w:r>
          </w:p>
        </w:tc>
        <w:tc>
          <w:tcPr>
            <w:tcW w:w="749" w:type="dxa"/>
            <w:tcBorders>
              <w:top w:val="single" w:color="000000" w:sz="2" w:space="0"/>
              <w:left w:val="single" w:color="000000" w:sz="2" w:space="0"/>
              <w:bottom w:val="single" w:color="000000" w:sz="2" w:space="0"/>
              <w:right w:val="single" w:color="000000" w:sz="2" w:space="0"/>
            </w:tcBorders>
            <w:vAlign w:val="center"/>
          </w:tcPr>
          <w:p w14:paraId="3E07EC0C">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3.29</w:t>
            </w:r>
          </w:p>
        </w:tc>
        <w:tc>
          <w:tcPr>
            <w:tcW w:w="765" w:type="dxa"/>
            <w:tcBorders>
              <w:top w:val="single" w:color="000000" w:sz="2" w:space="0"/>
              <w:left w:val="single" w:color="000000" w:sz="2" w:space="0"/>
              <w:bottom w:val="single" w:color="000000" w:sz="2" w:space="0"/>
              <w:right w:val="single" w:color="000000" w:sz="2" w:space="0"/>
            </w:tcBorders>
            <w:vAlign w:val="center"/>
          </w:tcPr>
          <w:p w14:paraId="0E637CB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3.67</w:t>
            </w:r>
          </w:p>
        </w:tc>
      </w:tr>
      <w:tr w14:paraId="46DDE2DB">
        <w:tblPrEx>
          <w:tblCellMar>
            <w:top w:w="0" w:type="dxa"/>
            <w:left w:w="0" w:type="dxa"/>
            <w:bottom w:w="0" w:type="dxa"/>
            <w:right w:w="0" w:type="dxa"/>
          </w:tblCellMar>
        </w:tblPrEx>
        <w:trPr>
          <w:trHeight w:val="388" w:hRule="exact"/>
          <w:jc w:val="center"/>
        </w:trPr>
        <w:tc>
          <w:tcPr>
            <w:tcW w:w="655" w:type="dxa"/>
            <w:vMerge w:val="continue"/>
            <w:tcBorders>
              <w:top w:val="single" w:color="000000" w:sz="2" w:space="0"/>
              <w:left w:val="single" w:color="000000" w:sz="2" w:space="0"/>
              <w:bottom w:val="single" w:color="000000" w:sz="2" w:space="0"/>
              <w:right w:val="single" w:color="000000" w:sz="2" w:space="0"/>
            </w:tcBorders>
            <w:vAlign w:val="center"/>
          </w:tcPr>
          <w:p w14:paraId="48892CBD">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p>
        </w:tc>
        <w:tc>
          <w:tcPr>
            <w:tcW w:w="751" w:type="dxa"/>
            <w:tcBorders>
              <w:top w:val="single" w:color="000000" w:sz="2" w:space="0"/>
              <w:left w:val="single" w:color="000000" w:sz="2" w:space="0"/>
              <w:bottom w:val="single" w:color="000000" w:sz="2" w:space="0"/>
              <w:right w:val="single" w:color="000000" w:sz="2" w:space="0"/>
            </w:tcBorders>
            <w:vAlign w:val="center"/>
          </w:tcPr>
          <w:p w14:paraId="37851C3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沟下</w:t>
            </w:r>
          </w:p>
        </w:tc>
        <w:tc>
          <w:tcPr>
            <w:tcW w:w="972" w:type="dxa"/>
            <w:tcBorders>
              <w:top w:val="single" w:color="000000" w:sz="2" w:space="0"/>
              <w:left w:val="single" w:color="000000" w:sz="2" w:space="0"/>
              <w:bottom w:val="single" w:color="000000" w:sz="2" w:space="0"/>
              <w:right w:val="single" w:color="000000" w:sz="2" w:space="0"/>
            </w:tcBorders>
            <w:vAlign w:val="center"/>
          </w:tcPr>
          <w:p w14:paraId="6C17A44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3.80</w:t>
            </w:r>
          </w:p>
        </w:tc>
        <w:tc>
          <w:tcPr>
            <w:tcW w:w="862" w:type="dxa"/>
            <w:tcBorders>
              <w:top w:val="single" w:color="000000" w:sz="2" w:space="0"/>
              <w:left w:val="single" w:color="000000" w:sz="2" w:space="0"/>
              <w:bottom w:val="single" w:color="000000" w:sz="2" w:space="0"/>
              <w:right w:val="single" w:color="000000" w:sz="2" w:space="0"/>
            </w:tcBorders>
            <w:vAlign w:val="center"/>
          </w:tcPr>
          <w:p w14:paraId="0C8A29BA">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97.1</w:t>
            </w:r>
          </w:p>
        </w:tc>
        <w:tc>
          <w:tcPr>
            <w:tcW w:w="864" w:type="dxa"/>
            <w:tcBorders>
              <w:top w:val="single" w:color="000000" w:sz="2" w:space="0"/>
              <w:left w:val="single" w:color="000000" w:sz="2" w:space="0"/>
              <w:bottom w:val="single" w:color="000000" w:sz="2" w:space="0"/>
              <w:right w:val="single" w:color="000000" w:sz="2" w:space="0"/>
            </w:tcBorders>
            <w:vAlign w:val="center"/>
          </w:tcPr>
          <w:p w14:paraId="60371898">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2.0</w:t>
            </w:r>
          </w:p>
        </w:tc>
        <w:tc>
          <w:tcPr>
            <w:tcW w:w="861" w:type="dxa"/>
            <w:tcBorders>
              <w:top w:val="single" w:color="000000" w:sz="2" w:space="0"/>
              <w:left w:val="single" w:color="000000" w:sz="2" w:space="0"/>
              <w:bottom w:val="single" w:color="000000" w:sz="2" w:space="0"/>
              <w:right w:val="single" w:color="000000" w:sz="2" w:space="0"/>
            </w:tcBorders>
            <w:vAlign w:val="center"/>
          </w:tcPr>
          <w:p w14:paraId="4DD48A7A">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0.9</w:t>
            </w:r>
          </w:p>
        </w:tc>
        <w:tc>
          <w:tcPr>
            <w:tcW w:w="758" w:type="dxa"/>
            <w:tcBorders>
              <w:top w:val="single" w:color="000000" w:sz="2" w:space="0"/>
              <w:left w:val="single" w:color="000000" w:sz="2" w:space="0"/>
              <w:bottom w:val="single" w:color="000000" w:sz="2" w:space="0"/>
              <w:right w:val="single" w:color="000000" w:sz="2" w:space="0"/>
            </w:tcBorders>
            <w:vAlign w:val="center"/>
          </w:tcPr>
          <w:p w14:paraId="141FBE4D">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51.93</w:t>
            </w:r>
          </w:p>
        </w:tc>
        <w:tc>
          <w:tcPr>
            <w:tcW w:w="751" w:type="dxa"/>
            <w:tcBorders>
              <w:top w:val="single" w:color="000000" w:sz="2" w:space="0"/>
              <w:left w:val="single" w:color="000000" w:sz="2" w:space="0"/>
              <w:bottom w:val="single" w:color="000000" w:sz="2" w:space="0"/>
              <w:right w:val="single" w:color="000000" w:sz="2" w:space="0"/>
            </w:tcBorders>
            <w:vAlign w:val="center"/>
          </w:tcPr>
          <w:p w14:paraId="31FB4D2E">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11.00</w:t>
            </w:r>
          </w:p>
        </w:tc>
        <w:tc>
          <w:tcPr>
            <w:tcW w:w="758" w:type="dxa"/>
            <w:tcBorders>
              <w:top w:val="single" w:color="000000" w:sz="2" w:space="0"/>
              <w:left w:val="single" w:color="000000" w:sz="2" w:space="0"/>
              <w:bottom w:val="single" w:color="000000" w:sz="2" w:space="0"/>
              <w:right w:val="single" w:color="000000" w:sz="2" w:space="0"/>
            </w:tcBorders>
            <w:vAlign w:val="center"/>
          </w:tcPr>
          <w:p w14:paraId="30EB9825">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12.60</w:t>
            </w:r>
          </w:p>
        </w:tc>
        <w:tc>
          <w:tcPr>
            <w:tcW w:w="749" w:type="dxa"/>
            <w:tcBorders>
              <w:top w:val="single" w:color="000000" w:sz="2" w:space="0"/>
              <w:left w:val="single" w:color="000000" w:sz="2" w:space="0"/>
              <w:bottom w:val="single" w:color="000000" w:sz="2" w:space="0"/>
              <w:right w:val="single" w:color="000000" w:sz="2" w:space="0"/>
            </w:tcBorders>
            <w:vAlign w:val="center"/>
          </w:tcPr>
          <w:p w14:paraId="37195EDF">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2.66</w:t>
            </w:r>
          </w:p>
        </w:tc>
        <w:tc>
          <w:tcPr>
            <w:tcW w:w="765" w:type="dxa"/>
            <w:tcBorders>
              <w:top w:val="single" w:color="000000" w:sz="2" w:space="0"/>
              <w:left w:val="single" w:color="000000" w:sz="2" w:space="0"/>
              <w:bottom w:val="single" w:color="000000" w:sz="2" w:space="0"/>
              <w:right w:val="single" w:color="000000" w:sz="2" w:space="0"/>
            </w:tcBorders>
            <w:vAlign w:val="center"/>
          </w:tcPr>
          <w:p w14:paraId="704AEB68">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default" w:ascii="Times New Roman" w:hAnsi="Times New Roman" w:eastAsia="Times New Roman" w:cs="Times New Roman"/>
                <w:color w:val="000000"/>
                <w:spacing w:val="-4"/>
                <w:sz w:val="21"/>
                <w:szCs w:val="21"/>
              </w:rPr>
            </w:pPr>
            <w:r>
              <w:rPr>
                <w:rFonts w:hint="default" w:ascii="Times New Roman" w:hAnsi="Times New Roman" w:eastAsia="Times New Roman" w:cs="Times New Roman"/>
                <w:color w:val="000000"/>
                <w:spacing w:val="-4"/>
                <w:sz w:val="21"/>
                <w:szCs w:val="21"/>
              </w:rPr>
              <w:t>9.1</w:t>
            </w:r>
          </w:p>
        </w:tc>
      </w:tr>
    </w:tbl>
    <w:p w14:paraId="541FD1C7">
      <w:pPr>
        <w:numPr>
          <w:ilvl w:val="0"/>
          <w:numId w:val="5"/>
        </w:numPr>
        <w:rPr>
          <w:rFonts w:hint="eastAsia"/>
          <w:b/>
          <w:bCs/>
          <w:lang w:val="en-US" w:eastAsia="zh-CN"/>
        </w:rPr>
      </w:pPr>
      <w:r>
        <w:rPr>
          <w:rFonts w:hint="eastAsia"/>
          <w:b/>
          <w:bCs/>
          <w:lang w:val="en-US" w:eastAsia="zh-CN"/>
        </w:rPr>
        <w:t>污染物控制措施</w:t>
      </w:r>
    </w:p>
    <w:p w14:paraId="1CAAFFFD">
      <w:pPr>
        <w:bidi w:val="0"/>
        <w:rPr>
          <w:rFonts w:hint="eastAsia"/>
        </w:rPr>
      </w:pPr>
      <w:r>
        <w:rPr>
          <w:rFonts w:hint="eastAsia"/>
        </w:rPr>
        <w:t>炼铁工序大气污染物来源及控制措施见表4-</w:t>
      </w:r>
      <w:r>
        <w:rPr>
          <w:rFonts w:hint="eastAsia"/>
          <w:lang w:val="en-US" w:eastAsia="zh-CN"/>
        </w:rPr>
        <w:t>6</w:t>
      </w:r>
      <w:r>
        <w:rPr>
          <w:rFonts w:hint="eastAsia"/>
        </w:rPr>
        <w:t>。</w:t>
      </w:r>
    </w:p>
    <w:p w14:paraId="591E3962">
      <w:pPr>
        <w:bidi w:val="0"/>
        <w:ind w:left="0" w:leftChars="0" w:firstLine="0" w:firstLineChars="0"/>
        <w:jc w:val="center"/>
        <w:rPr>
          <w:rFonts w:hint="eastAsia" w:ascii="黑体" w:hAnsi="宋体"/>
          <w:b/>
          <w:bCs/>
          <w:szCs w:val="21"/>
        </w:rPr>
      </w:pPr>
      <w:r>
        <w:rPr>
          <w:rFonts w:hint="eastAsia"/>
          <w:b/>
          <w:bCs/>
        </w:rPr>
        <w:t>表</w:t>
      </w:r>
      <w:r>
        <w:rPr>
          <w:rFonts w:hint="eastAsia"/>
          <w:b/>
          <w:bCs/>
          <w:lang w:val="en-US" w:eastAsia="zh-CN"/>
        </w:rPr>
        <w:t>4-6</w:t>
      </w:r>
      <w:r>
        <w:rPr>
          <w:rFonts w:hint="eastAsia"/>
          <w:b/>
          <w:bCs/>
        </w:rPr>
        <w:t>炼铁</w:t>
      </w:r>
      <w:r>
        <w:rPr>
          <w:rFonts w:hint="eastAsia"/>
          <w:b/>
          <w:bCs/>
          <w:lang w:val="en-US" w:eastAsia="zh-CN"/>
        </w:rPr>
        <w:t>工艺</w:t>
      </w:r>
      <w:r>
        <w:rPr>
          <w:rFonts w:hint="eastAsia"/>
          <w:b/>
          <w:bCs/>
        </w:rPr>
        <w:t>废气污染物排污节点及污染控制措施</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114"/>
        <w:gridCol w:w="1105"/>
        <w:gridCol w:w="2023"/>
        <w:gridCol w:w="1206"/>
        <w:gridCol w:w="2592"/>
      </w:tblGrid>
      <w:tr w14:paraId="65C9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2" w:type="dxa"/>
            <w:tcBorders>
              <w:top w:val="single" w:color="auto" w:sz="4" w:space="0"/>
              <w:left w:val="single" w:color="auto" w:sz="4" w:space="0"/>
              <w:bottom w:val="single" w:color="auto" w:sz="4" w:space="0"/>
              <w:right w:val="single" w:color="auto" w:sz="4" w:space="0"/>
            </w:tcBorders>
            <w:noWrap w:val="0"/>
            <w:vAlign w:val="center"/>
          </w:tcPr>
          <w:p w14:paraId="71D02254">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序号</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7E722407">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废气种类</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73E5BB71">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排放源</w:t>
            </w:r>
          </w:p>
        </w:tc>
        <w:tc>
          <w:tcPr>
            <w:tcW w:w="2023" w:type="dxa"/>
            <w:tcBorders>
              <w:top w:val="single" w:color="auto" w:sz="4" w:space="0"/>
              <w:left w:val="single" w:color="auto" w:sz="4" w:space="0"/>
              <w:bottom w:val="single" w:color="auto" w:sz="4" w:space="0"/>
              <w:right w:val="single" w:color="auto" w:sz="4" w:space="0"/>
            </w:tcBorders>
            <w:noWrap w:val="0"/>
            <w:vAlign w:val="center"/>
          </w:tcPr>
          <w:p w14:paraId="1645F47E">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排污节点</w:t>
            </w:r>
          </w:p>
        </w:tc>
        <w:tc>
          <w:tcPr>
            <w:tcW w:w="1206" w:type="dxa"/>
            <w:tcBorders>
              <w:top w:val="single" w:color="auto" w:sz="4" w:space="0"/>
              <w:left w:val="single" w:color="auto" w:sz="4" w:space="0"/>
              <w:bottom w:val="single" w:color="auto" w:sz="4" w:space="0"/>
              <w:right w:val="single" w:color="auto" w:sz="4" w:space="0"/>
            </w:tcBorders>
            <w:noWrap w:val="0"/>
            <w:vAlign w:val="center"/>
          </w:tcPr>
          <w:p w14:paraId="6A6A803D">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主要污染物</w:t>
            </w:r>
          </w:p>
        </w:tc>
        <w:tc>
          <w:tcPr>
            <w:tcW w:w="2592" w:type="dxa"/>
            <w:tcBorders>
              <w:top w:val="single" w:color="auto" w:sz="4" w:space="0"/>
              <w:left w:val="single" w:color="auto" w:sz="4" w:space="0"/>
              <w:bottom w:val="single" w:color="auto" w:sz="4" w:space="0"/>
              <w:right w:val="single" w:color="auto" w:sz="4" w:space="0"/>
            </w:tcBorders>
            <w:noWrap w:val="0"/>
            <w:vAlign w:val="center"/>
          </w:tcPr>
          <w:p w14:paraId="518BE40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控制措施</w:t>
            </w:r>
          </w:p>
        </w:tc>
      </w:tr>
      <w:tr w14:paraId="0BF0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2" w:type="dxa"/>
            <w:tcBorders>
              <w:top w:val="single" w:color="auto" w:sz="4" w:space="0"/>
              <w:left w:val="single" w:color="auto" w:sz="4" w:space="0"/>
              <w:bottom w:val="single" w:color="auto" w:sz="4" w:space="0"/>
              <w:right w:val="single" w:color="auto" w:sz="4" w:space="0"/>
            </w:tcBorders>
            <w:noWrap w:val="0"/>
            <w:vAlign w:val="center"/>
          </w:tcPr>
          <w:p w14:paraId="21B59D3E">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1</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1837D05">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矿槽废气</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2DF0557C">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高炉矿槽</w:t>
            </w:r>
          </w:p>
        </w:tc>
        <w:tc>
          <w:tcPr>
            <w:tcW w:w="2023" w:type="dxa"/>
            <w:tcBorders>
              <w:top w:val="single" w:color="auto" w:sz="4" w:space="0"/>
              <w:left w:val="single" w:color="auto" w:sz="4" w:space="0"/>
              <w:bottom w:val="single" w:color="auto" w:sz="4" w:space="0"/>
              <w:right w:val="single" w:color="auto" w:sz="4" w:space="0"/>
            </w:tcBorders>
            <w:noWrap w:val="0"/>
            <w:vAlign w:val="center"/>
          </w:tcPr>
          <w:p w14:paraId="09DB9F03">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槽上转运、卸料，槽下振筛、卸料</w:t>
            </w:r>
          </w:p>
        </w:tc>
        <w:tc>
          <w:tcPr>
            <w:tcW w:w="1206" w:type="dxa"/>
            <w:tcBorders>
              <w:top w:val="single" w:color="auto" w:sz="4" w:space="0"/>
              <w:left w:val="single" w:color="auto" w:sz="4" w:space="0"/>
              <w:bottom w:val="single" w:color="auto" w:sz="4" w:space="0"/>
              <w:right w:val="single" w:color="auto" w:sz="4" w:space="0"/>
            </w:tcBorders>
            <w:noWrap w:val="0"/>
            <w:vAlign w:val="center"/>
          </w:tcPr>
          <w:p w14:paraId="2DA0787D">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颗粒物</w:t>
            </w:r>
          </w:p>
        </w:tc>
        <w:tc>
          <w:tcPr>
            <w:tcW w:w="2592" w:type="dxa"/>
            <w:tcBorders>
              <w:top w:val="single" w:color="auto" w:sz="4" w:space="0"/>
              <w:left w:val="single" w:color="auto" w:sz="4" w:space="0"/>
              <w:bottom w:val="single" w:color="auto" w:sz="4" w:space="0"/>
              <w:right w:val="single" w:color="auto" w:sz="4" w:space="0"/>
            </w:tcBorders>
            <w:noWrap w:val="0"/>
            <w:vAlign w:val="center"/>
          </w:tcPr>
          <w:p w14:paraId="04A30FFC">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集气罩+袋式除尘器</w:t>
            </w:r>
          </w:p>
        </w:tc>
      </w:tr>
      <w:tr w14:paraId="0B680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2" w:type="dxa"/>
            <w:tcBorders>
              <w:top w:val="single" w:color="auto" w:sz="4" w:space="0"/>
              <w:left w:val="single" w:color="auto" w:sz="4" w:space="0"/>
              <w:bottom w:val="single" w:color="auto" w:sz="4" w:space="0"/>
              <w:right w:val="single" w:color="auto" w:sz="4" w:space="0"/>
            </w:tcBorders>
            <w:noWrap w:val="0"/>
            <w:vAlign w:val="center"/>
          </w:tcPr>
          <w:p w14:paraId="4B5D4C61">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2</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579D2244">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热风炉烟气</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2BC92A3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热风炉</w:t>
            </w:r>
          </w:p>
        </w:tc>
        <w:tc>
          <w:tcPr>
            <w:tcW w:w="2023" w:type="dxa"/>
            <w:tcBorders>
              <w:top w:val="single" w:color="auto" w:sz="4" w:space="0"/>
              <w:left w:val="single" w:color="auto" w:sz="4" w:space="0"/>
              <w:bottom w:val="single" w:color="auto" w:sz="4" w:space="0"/>
              <w:right w:val="single" w:color="auto" w:sz="4" w:space="0"/>
            </w:tcBorders>
            <w:noWrap w:val="0"/>
            <w:vAlign w:val="center"/>
          </w:tcPr>
          <w:p w14:paraId="4C7729BA">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煤气燃烧</w:t>
            </w:r>
          </w:p>
        </w:tc>
        <w:tc>
          <w:tcPr>
            <w:tcW w:w="1206" w:type="dxa"/>
            <w:tcBorders>
              <w:top w:val="single" w:color="auto" w:sz="4" w:space="0"/>
              <w:left w:val="single" w:color="auto" w:sz="4" w:space="0"/>
              <w:bottom w:val="single" w:color="auto" w:sz="4" w:space="0"/>
              <w:right w:val="single" w:color="auto" w:sz="4" w:space="0"/>
            </w:tcBorders>
            <w:noWrap w:val="0"/>
            <w:vAlign w:val="center"/>
          </w:tcPr>
          <w:p w14:paraId="2D9BFDBB">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烟尘、SO</w:t>
            </w:r>
            <w:r>
              <w:rPr>
                <w:rFonts w:hint="eastAsia" w:ascii="Times New Roman" w:hAnsi="Times New Roman" w:eastAsia="宋体" w:cs="Times New Roman"/>
                <w:color w:val="000000"/>
                <w:spacing w:val="-4"/>
                <w:sz w:val="21"/>
                <w:szCs w:val="21"/>
                <w:vertAlign w:val="subscript"/>
                <w:lang w:val="en-US" w:eastAsia="zh-CN"/>
              </w:rPr>
              <w:t>2</w:t>
            </w:r>
            <w:r>
              <w:rPr>
                <w:rFonts w:hint="eastAsia" w:ascii="Times New Roman" w:hAnsi="Times New Roman" w:eastAsia="宋体" w:cs="Times New Roman"/>
                <w:color w:val="000000"/>
                <w:spacing w:val="-4"/>
                <w:sz w:val="21"/>
                <w:szCs w:val="21"/>
                <w:lang w:val="en-US" w:eastAsia="zh-CN"/>
              </w:rPr>
              <w:t>、NOx</w:t>
            </w:r>
          </w:p>
        </w:tc>
        <w:tc>
          <w:tcPr>
            <w:tcW w:w="2592" w:type="dxa"/>
            <w:tcBorders>
              <w:top w:val="single" w:color="auto" w:sz="4" w:space="0"/>
              <w:left w:val="single" w:color="auto" w:sz="4" w:space="0"/>
              <w:bottom w:val="single" w:color="auto" w:sz="4" w:space="0"/>
              <w:right w:val="single" w:color="auto" w:sz="4" w:space="0"/>
            </w:tcBorders>
            <w:noWrap w:val="0"/>
            <w:vAlign w:val="center"/>
          </w:tcPr>
          <w:p w14:paraId="0E4CAA78">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采用清洁燃料，如净化后的高炉煤气、转炉煤气、焦炉煤气作燃料</w:t>
            </w:r>
          </w:p>
        </w:tc>
      </w:tr>
      <w:tr w14:paraId="0A79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2" w:type="dxa"/>
            <w:tcBorders>
              <w:top w:val="single" w:color="auto" w:sz="4" w:space="0"/>
              <w:left w:val="single" w:color="auto" w:sz="4" w:space="0"/>
              <w:bottom w:val="single" w:color="auto" w:sz="4" w:space="0"/>
              <w:right w:val="single" w:color="auto" w:sz="4" w:space="0"/>
            </w:tcBorders>
            <w:noWrap w:val="0"/>
            <w:vAlign w:val="center"/>
          </w:tcPr>
          <w:p w14:paraId="522F4091">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4</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72584EE5">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出铁场废气</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6B56D4E3">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高炉出铁场</w:t>
            </w:r>
          </w:p>
        </w:tc>
        <w:tc>
          <w:tcPr>
            <w:tcW w:w="2023" w:type="dxa"/>
            <w:tcBorders>
              <w:top w:val="single" w:color="auto" w:sz="4" w:space="0"/>
              <w:left w:val="single" w:color="auto" w:sz="4" w:space="0"/>
              <w:bottom w:val="single" w:color="auto" w:sz="4" w:space="0"/>
              <w:right w:val="single" w:color="auto" w:sz="4" w:space="0"/>
            </w:tcBorders>
            <w:noWrap w:val="0"/>
            <w:vAlign w:val="center"/>
          </w:tcPr>
          <w:p w14:paraId="5916A6F7">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出铁口、铁沟、渣沟以及摆动溜嘴</w:t>
            </w:r>
          </w:p>
        </w:tc>
        <w:tc>
          <w:tcPr>
            <w:tcW w:w="1206" w:type="dxa"/>
            <w:tcBorders>
              <w:top w:val="single" w:color="auto" w:sz="4" w:space="0"/>
              <w:left w:val="single" w:color="auto" w:sz="4" w:space="0"/>
              <w:bottom w:val="single" w:color="auto" w:sz="4" w:space="0"/>
              <w:right w:val="single" w:color="auto" w:sz="4" w:space="0"/>
            </w:tcBorders>
            <w:noWrap w:val="0"/>
            <w:vAlign w:val="center"/>
          </w:tcPr>
          <w:p w14:paraId="4541128E">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颗粒物</w:t>
            </w:r>
          </w:p>
        </w:tc>
        <w:tc>
          <w:tcPr>
            <w:tcW w:w="2592" w:type="dxa"/>
            <w:tcBorders>
              <w:top w:val="single" w:color="auto" w:sz="4" w:space="0"/>
              <w:left w:val="single" w:color="auto" w:sz="4" w:space="0"/>
              <w:bottom w:val="single" w:color="auto" w:sz="4" w:space="0"/>
              <w:right w:val="single" w:color="auto" w:sz="4" w:space="0"/>
            </w:tcBorders>
            <w:noWrap w:val="0"/>
            <w:vAlign w:val="center"/>
          </w:tcPr>
          <w:p w14:paraId="64FBFBC8">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铁渣沟加盖、各产尘点设集气罩＋袋式除尘器</w:t>
            </w:r>
          </w:p>
        </w:tc>
      </w:tr>
      <w:tr w14:paraId="382C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2" w:type="dxa"/>
            <w:tcBorders>
              <w:top w:val="single" w:color="auto" w:sz="4" w:space="0"/>
              <w:left w:val="single" w:color="auto" w:sz="4" w:space="0"/>
              <w:bottom w:val="single" w:color="auto" w:sz="4" w:space="0"/>
              <w:right w:val="single" w:color="auto" w:sz="4" w:space="0"/>
            </w:tcBorders>
            <w:noWrap w:val="0"/>
            <w:vAlign w:val="center"/>
          </w:tcPr>
          <w:p w14:paraId="279E9891">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5</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B28ADE8">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煤粉制备废气</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40D600E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煤粉制备</w:t>
            </w:r>
          </w:p>
        </w:tc>
        <w:tc>
          <w:tcPr>
            <w:tcW w:w="2023" w:type="dxa"/>
            <w:tcBorders>
              <w:top w:val="single" w:color="auto" w:sz="4" w:space="0"/>
              <w:left w:val="single" w:color="auto" w:sz="4" w:space="0"/>
              <w:bottom w:val="single" w:color="auto" w:sz="4" w:space="0"/>
              <w:right w:val="single" w:color="auto" w:sz="4" w:space="0"/>
            </w:tcBorders>
            <w:noWrap w:val="0"/>
            <w:vAlign w:val="center"/>
          </w:tcPr>
          <w:p w14:paraId="715F6B11">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煤粉制备及喷吹过程中产生煤尘</w:t>
            </w:r>
          </w:p>
        </w:tc>
        <w:tc>
          <w:tcPr>
            <w:tcW w:w="1206" w:type="dxa"/>
            <w:tcBorders>
              <w:top w:val="single" w:color="auto" w:sz="4" w:space="0"/>
              <w:left w:val="single" w:color="auto" w:sz="4" w:space="0"/>
              <w:bottom w:val="single" w:color="auto" w:sz="4" w:space="0"/>
              <w:right w:val="single" w:color="auto" w:sz="4" w:space="0"/>
            </w:tcBorders>
            <w:noWrap w:val="0"/>
            <w:vAlign w:val="center"/>
          </w:tcPr>
          <w:p w14:paraId="4FA5AFAE">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颗粒物</w:t>
            </w:r>
          </w:p>
        </w:tc>
        <w:tc>
          <w:tcPr>
            <w:tcW w:w="2592" w:type="dxa"/>
            <w:tcBorders>
              <w:top w:val="single" w:color="auto" w:sz="4" w:space="0"/>
              <w:left w:val="single" w:color="auto" w:sz="4" w:space="0"/>
              <w:bottom w:val="single" w:color="auto" w:sz="4" w:space="0"/>
              <w:right w:val="single" w:color="auto" w:sz="4" w:space="0"/>
            </w:tcBorders>
            <w:noWrap w:val="0"/>
            <w:vAlign w:val="center"/>
          </w:tcPr>
          <w:p w14:paraId="410B481C">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袋式收粉器</w:t>
            </w:r>
          </w:p>
        </w:tc>
      </w:tr>
      <w:tr w14:paraId="5EFF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2" w:type="dxa"/>
            <w:tcBorders>
              <w:top w:val="single" w:color="auto" w:sz="4" w:space="0"/>
              <w:left w:val="single" w:color="auto" w:sz="4" w:space="0"/>
              <w:bottom w:val="single" w:color="auto" w:sz="4" w:space="0"/>
              <w:right w:val="single" w:color="auto" w:sz="4" w:space="0"/>
            </w:tcBorders>
            <w:noWrap w:val="0"/>
            <w:vAlign w:val="center"/>
          </w:tcPr>
          <w:p w14:paraId="53938840">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6</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771F0FA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原料系统废气</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744461D6">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原料转运、其他</w:t>
            </w:r>
          </w:p>
        </w:tc>
        <w:tc>
          <w:tcPr>
            <w:tcW w:w="2023" w:type="dxa"/>
            <w:tcBorders>
              <w:top w:val="single" w:color="auto" w:sz="4" w:space="0"/>
              <w:left w:val="single" w:color="auto" w:sz="4" w:space="0"/>
              <w:bottom w:val="single" w:color="auto" w:sz="4" w:space="0"/>
              <w:right w:val="single" w:color="auto" w:sz="4" w:space="0"/>
            </w:tcBorders>
            <w:noWrap w:val="0"/>
            <w:vAlign w:val="center"/>
          </w:tcPr>
          <w:p w14:paraId="4FD0342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原料转运</w:t>
            </w:r>
          </w:p>
        </w:tc>
        <w:tc>
          <w:tcPr>
            <w:tcW w:w="1206" w:type="dxa"/>
            <w:tcBorders>
              <w:top w:val="single" w:color="auto" w:sz="4" w:space="0"/>
              <w:left w:val="single" w:color="auto" w:sz="4" w:space="0"/>
              <w:bottom w:val="single" w:color="auto" w:sz="4" w:space="0"/>
              <w:right w:val="single" w:color="auto" w:sz="4" w:space="0"/>
            </w:tcBorders>
            <w:noWrap w:val="0"/>
            <w:vAlign w:val="center"/>
          </w:tcPr>
          <w:p w14:paraId="1877F88F">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颗粒物</w:t>
            </w:r>
          </w:p>
        </w:tc>
        <w:tc>
          <w:tcPr>
            <w:tcW w:w="2592" w:type="dxa"/>
            <w:tcBorders>
              <w:top w:val="single" w:color="auto" w:sz="4" w:space="0"/>
              <w:left w:val="single" w:color="auto" w:sz="4" w:space="0"/>
              <w:bottom w:val="single" w:color="auto" w:sz="4" w:space="0"/>
              <w:right w:val="single" w:color="auto" w:sz="4" w:space="0"/>
            </w:tcBorders>
            <w:noWrap w:val="0"/>
            <w:vAlign w:val="center"/>
          </w:tcPr>
          <w:p w14:paraId="7E25A64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rFonts w:hint="eastAsia" w:ascii="Times New Roman" w:hAnsi="Times New Roman" w:eastAsia="宋体" w:cs="Times New Roman"/>
                <w:color w:val="000000"/>
                <w:spacing w:val="-4"/>
                <w:sz w:val="21"/>
                <w:szCs w:val="21"/>
                <w:lang w:val="en-US" w:eastAsia="zh-CN"/>
              </w:rPr>
            </w:pPr>
            <w:r>
              <w:rPr>
                <w:rFonts w:hint="eastAsia" w:ascii="Times New Roman" w:hAnsi="Times New Roman" w:eastAsia="宋体" w:cs="Times New Roman"/>
                <w:color w:val="000000"/>
                <w:spacing w:val="-4"/>
                <w:sz w:val="21"/>
                <w:szCs w:val="21"/>
                <w:lang w:val="en-US" w:eastAsia="zh-CN"/>
              </w:rPr>
              <w:t>集气罩+袋式除尘器</w:t>
            </w:r>
          </w:p>
        </w:tc>
      </w:tr>
    </w:tbl>
    <w:p w14:paraId="533B6CA1">
      <w:pPr>
        <w:pStyle w:val="4"/>
        <w:bidi w:val="0"/>
        <w:rPr>
          <w:rFonts w:hint="eastAsia"/>
          <w:lang w:val="en-US" w:eastAsia="zh-CN"/>
        </w:rPr>
      </w:pPr>
      <w:r>
        <w:rPr>
          <w:rFonts w:hint="eastAsia"/>
          <w:lang w:val="en-US" w:eastAsia="zh-CN"/>
        </w:rPr>
        <w:t>4.1.4炼钢</w:t>
      </w:r>
    </w:p>
    <w:p w14:paraId="36E1106A">
      <w:pPr>
        <w:numPr>
          <w:ilvl w:val="0"/>
          <w:numId w:val="6"/>
        </w:numPr>
        <w:bidi w:val="0"/>
        <w:rPr>
          <w:rFonts w:hint="eastAsia"/>
          <w:b/>
          <w:bCs/>
          <w:lang w:val="en-US" w:eastAsia="zh-CN"/>
        </w:rPr>
      </w:pPr>
      <w:r>
        <w:rPr>
          <w:rFonts w:hint="eastAsia"/>
          <w:b/>
          <w:bCs/>
          <w:lang w:val="en-US" w:eastAsia="zh-CN"/>
        </w:rPr>
        <w:t>炼钢工艺</w:t>
      </w:r>
    </w:p>
    <w:p w14:paraId="217926A7">
      <w:pPr>
        <w:bidi w:val="0"/>
      </w:pPr>
      <w:r>
        <w:rPr>
          <w:rFonts w:hint="eastAsia"/>
        </w:rPr>
        <w:t>炼钢生产方法目前主要有转炉炼钢和电炉炼钢两大类。</w:t>
      </w:r>
    </w:p>
    <w:p w14:paraId="6862BE5A">
      <w:pPr>
        <w:bidi w:val="0"/>
        <w:rPr>
          <w:b/>
          <w:bCs/>
        </w:rPr>
      </w:pPr>
      <w:r>
        <w:rPr>
          <w:rFonts w:hint="default"/>
          <w:b/>
          <w:bCs/>
        </w:rPr>
        <w:t>①</w:t>
      </w:r>
      <w:r>
        <w:rPr>
          <w:rFonts w:hint="eastAsia"/>
          <w:b/>
          <w:bCs/>
        </w:rPr>
        <w:t>转炉炼钢</w:t>
      </w:r>
    </w:p>
    <w:p w14:paraId="5682A7BA">
      <w:pPr>
        <w:bidi w:val="0"/>
      </w:pPr>
      <w:r>
        <w:rPr>
          <w:rFonts w:hint="eastAsia"/>
        </w:rPr>
        <w:t>转炉炼钢以铁水及少量废钢为原料，以石灰(活性石灰)、萤石等为熔剂，以氧气作为主要的氧化剂，通过氧化反应将铁水中的杂质氧化分离，将其中的碳、硅、锰、磷、硫等控制在规定的范围内。冶炼产品为合格钢水。铁水用铁水罐或鱼雷罐车送到炼钢厂，采用铁水罐车运送铁水时，铁水进入炼钢工序无需倒罐，可先兑入混铁炉混匀保温而后再兑入铁水罐内进行脱硫，亦可直接将铁水罐吊到脱硫台车上进行脱硫作业或兑入转炉炼钢；采用鱼雷罐运送铁水时，铁水需要倒入铁水罐进行脱硫。熔剂通过皮带输送系统送炼钢车间。</w:t>
      </w:r>
    </w:p>
    <w:p w14:paraId="4D2B4651">
      <w:pPr>
        <w:bidi w:val="0"/>
      </w:pPr>
      <w:r>
        <w:rPr>
          <w:rFonts w:hint="eastAsia"/>
        </w:rPr>
        <w:t>铁水和废钢加入炉后摇直炉体进行吹炼，根据冶炼时向炉内喷吹氧气、惰性气体的部位，可分为顶吹、底吹转炉和顶底复吹转炉。顶吹就是炉顶吹氧，底吹就是炉底吹氧，顶底复吹是炉顶吹氧、炉底吹惰性气体(如</w:t>
      </w:r>
      <w:r>
        <w:t>Ar</w:t>
      </w:r>
      <w:r>
        <w:rPr>
          <w:rFonts w:hint="eastAsia"/>
        </w:rPr>
        <w:t>、</w:t>
      </w:r>
      <w:r>
        <w:t>N</w:t>
      </w:r>
      <w:r>
        <w:rPr>
          <w:vertAlign w:val="subscript"/>
        </w:rPr>
        <w:t>2</w:t>
      </w:r>
      <w:r>
        <w:rPr>
          <w:rFonts w:hint="eastAsia"/>
        </w:rPr>
        <w:t>等），熔剂等辅料由炉顶料仓加入炉内。</w:t>
      </w:r>
    </w:p>
    <w:p w14:paraId="300FE8DB">
      <w:pPr>
        <w:bidi w:val="0"/>
      </w:pPr>
      <w:r>
        <w:rPr>
          <w:rFonts w:hint="eastAsia"/>
        </w:rPr>
        <w:t>转炉吹炼时由于氧气和铁水中的碳发生化学反应，产生含大量一氧化碳的炉气(转炉煤气)，同时铁水中的杂质与熔剂相结合生产钢渣。当吹炼结束时，倾倒炉体排渣出钢；出钢过程中向钢包加入少量铁合金料使钢水脱氧和合金化。为了冶炼优质钢种，将转炉钢水再送精炼装置(如</w:t>
      </w:r>
      <w:r>
        <w:t>LF</w:t>
      </w:r>
      <w:r>
        <w:rPr>
          <w:rFonts w:hint="eastAsia"/>
        </w:rPr>
        <w:t>钢包精炼炉、</w:t>
      </w:r>
      <w:r>
        <w:t>RH</w:t>
      </w:r>
      <w:r>
        <w:rPr>
          <w:rFonts w:hint="eastAsia"/>
        </w:rPr>
        <w:t>、</w:t>
      </w:r>
      <w:r>
        <w:t>VD</w:t>
      </w:r>
      <w:r>
        <w:rPr>
          <w:rFonts w:hint="eastAsia"/>
        </w:rPr>
        <w:t>真空处理炉等)进行精炼，对钢水进行升温、化学成份调节、真空脱气和去除杂质等。</w:t>
      </w:r>
    </w:p>
    <w:p w14:paraId="6F21534C">
      <w:pPr>
        <w:bidi w:val="0"/>
        <w:rPr>
          <w:rFonts w:hint="eastAsia"/>
        </w:rPr>
      </w:pPr>
      <w:r>
        <w:rPr>
          <w:rFonts w:hint="eastAsia"/>
        </w:rPr>
        <w:t>合格钢水送连铸钢包回转台，然后倒入中间包，到达一定高度后开浇，经过浸入式水口进入结晶器；由于结晶器不断振动，并在冷却水的间接冷却下使钢水形成坯壳。具有很薄坯壳的金属坯由引锭杆不断拉出，经过结晶器、弯曲段、扇形段，再通过二冷段用水直接喷淋冷却，最后进入矫直段，矫直后的铸坯经火焰切割成所需的尺寸，再经去毛刺和喷印产品规格，成为可送热轧厂使用的连铸坯。转炉炼钢工艺流程及排污节点见图4-</w:t>
      </w:r>
      <w:r>
        <w:rPr>
          <w:rFonts w:hint="eastAsia"/>
          <w:lang w:val="en-US" w:eastAsia="zh-CN"/>
        </w:rPr>
        <w:t>5</w:t>
      </w:r>
      <w:r>
        <w:rPr>
          <w:rFonts w:hint="eastAsia"/>
        </w:rPr>
        <w:t>。</w:t>
      </w:r>
    </w:p>
    <w:p w14:paraId="24DCABAD">
      <w:pPr>
        <w:bidi w:val="0"/>
        <w:rPr>
          <w:b/>
          <w:bCs/>
        </w:rPr>
      </w:pPr>
      <w:r>
        <w:rPr>
          <w:rFonts w:hint="default"/>
          <w:b/>
          <w:bCs/>
        </w:rPr>
        <w:t>②</w:t>
      </w:r>
      <w:r>
        <w:rPr>
          <w:rFonts w:hint="eastAsia"/>
          <w:b/>
          <w:bCs/>
        </w:rPr>
        <w:t>电炉炼钢</w:t>
      </w:r>
    </w:p>
    <w:p w14:paraId="68C0F1AB">
      <w:pPr>
        <w:bidi w:val="0"/>
        <w:rPr>
          <w:rFonts w:hint="eastAsia"/>
        </w:rPr>
      </w:pPr>
      <w:r>
        <w:rPr>
          <w:rFonts w:hint="eastAsia"/>
        </w:rPr>
        <w:t>电炉炼钢以废钢为原料，辅助料有铁合金、石灰、萤石等。炼钢电炉有交流电炉和直流电炉两种，传统的多为三相交流电炉，按其功率大小又可分为普通电炉、高功率电炉和超高功率电炉。</w:t>
      </w:r>
    </w:p>
    <w:p w14:paraId="3093EFE5">
      <w:pPr>
        <w:bidi w:val="0"/>
        <w:rPr>
          <w:rFonts w:hint="eastAsia"/>
        </w:rPr>
      </w:pPr>
      <w:r>
        <w:rPr>
          <w:rFonts w:hint="eastAsia"/>
        </w:rPr>
        <w:t>电炉生产工艺流程为：先移开电炉炉盖，将检选合格的废钢料由料罐（篮）加入炉内，将炉盖复位，同时将辅助料由高位料仓通过加料系统经电炉炉盖上的料孔分期分批加入炉内，然后通电开始冶炼。有些电炉先对废钢进行预热，其方式是利用电炉烟气在炉外预热，或直接在电炉上方设预热罐利用电炉烟气预热。</w:t>
      </w:r>
    </w:p>
    <w:p w14:paraId="454DC1BA">
      <w:pPr>
        <w:bidi w:val="0"/>
        <w:rPr>
          <w:rFonts w:hint="default" w:eastAsia="宋体"/>
          <w:lang w:val="en-US" w:eastAsia="zh-CN"/>
        </w:rPr>
      </w:pPr>
      <w:r>
        <w:rPr>
          <w:rFonts w:hint="eastAsia"/>
        </w:rPr>
        <w:t>整个冶炼过程按其先后可分为熔化期、氧化期和还原期。熔化期，使废钢表面的油脂类物质燃烧、金属进行熔化；氧化期，由于大量吹氧，使炉内熔融态金属激烈氧化脱碳，产生大量赤褐色烟气；还原期去除钢液中的氧和硫等杂质，调整钢水成份。在氧化期和还原期分别产生氧化渣和还原渣，分期排渣。冶炼结束后出钢，钢水如需精炼，则送精炼装置进行精炼，情况与转炉钢水精炼相同。电炉钢工艺流程及排污节点见图4-</w:t>
      </w:r>
      <w:r>
        <w:rPr>
          <w:rFonts w:hint="eastAsia"/>
          <w:lang w:val="en-US" w:eastAsia="zh-CN"/>
        </w:rPr>
        <w:t>6。</w:t>
      </w:r>
    </w:p>
    <w:p w14:paraId="444643E4">
      <w:pPr>
        <w:spacing w:line="360" w:lineRule="auto"/>
        <w:ind w:left="0" w:leftChars="0" w:firstLine="0" w:firstLineChars="0"/>
        <w:jc w:val="center"/>
        <w:rPr>
          <w:rFonts w:hint="eastAsia" w:ascii="Times New Roman" w:hAnsi="Times New Roman"/>
          <w:b/>
          <w:bCs/>
          <w:color w:val="000000" w:themeColor="text1"/>
          <w:lang w:val="en-US" w:eastAsia="zh-CN"/>
          <w14:textFill>
            <w14:solidFill>
              <w14:schemeClr w14:val="tx1"/>
            </w14:solidFill>
          </w14:textFill>
        </w:rPr>
      </w:pPr>
      <w:r>
        <w:drawing>
          <wp:inline distT="0" distB="0" distL="114300" distR="114300">
            <wp:extent cx="5176520" cy="4072890"/>
            <wp:effectExtent l="0" t="0" r="5080" b="3810"/>
            <wp:docPr id="1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1"/>
                    <pic:cNvPicPr>
                      <a:picLocks noChangeAspect="1"/>
                    </pic:cNvPicPr>
                  </pic:nvPicPr>
                  <pic:blipFill>
                    <a:blip r:embed="rId14"/>
                    <a:stretch>
                      <a:fillRect/>
                    </a:stretch>
                  </pic:blipFill>
                  <pic:spPr>
                    <a:xfrm>
                      <a:off x="0" y="0"/>
                      <a:ext cx="5176520" cy="4072890"/>
                    </a:xfrm>
                    <a:prstGeom prst="rect">
                      <a:avLst/>
                    </a:prstGeom>
                    <a:noFill/>
                    <a:ln>
                      <a:noFill/>
                    </a:ln>
                  </pic:spPr>
                </pic:pic>
              </a:graphicData>
            </a:graphic>
          </wp:inline>
        </w:drawing>
      </w:r>
    </w:p>
    <w:p w14:paraId="1C78F0C2">
      <w:pPr>
        <w:spacing w:line="360" w:lineRule="auto"/>
        <w:ind w:firstLine="482" w:firstLineChars="200"/>
        <w:jc w:val="center"/>
        <w:rPr>
          <w:rFonts w:hint="eastAsia" w:ascii="Times New Roman" w:hAnsi="Times New Roman"/>
          <w:b/>
          <w:bCs/>
          <w:color w:val="000000" w:themeColor="text1"/>
          <w:lang w:val="en-US" w:eastAsia="zh-CN"/>
          <w14:textFill>
            <w14:solidFill>
              <w14:schemeClr w14:val="tx1"/>
            </w14:solidFill>
          </w14:textFill>
        </w:rPr>
      </w:pPr>
      <w:r>
        <w:rPr>
          <w:rFonts w:hint="eastAsia" w:ascii="Times New Roman" w:hAnsi="Times New Roman"/>
          <w:b/>
          <w:bCs/>
          <w:color w:val="000000" w:themeColor="text1"/>
          <w:lang w:val="en-US" w:eastAsia="zh-CN"/>
          <w14:textFill>
            <w14:solidFill>
              <w14:schemeClr w14:val="tx1"/>
            </w14:solidFill>
          </w14:textFill>
        </w:rPr>
        <w:t>图4-5转炉炼钢工艺流程及产污环节</w:t>
      </w:r>
    </w:p>
    <w:p w14:paraId="77712F3F">
      <w:pPr>
        <w:numPr>
          <w:ilvl w:val="0"/>
          <w:numId w:val="0"/>
        </w:numPr>
        <w:bidi w:val="0"/>
        <w:jc w:val="center"/>
      </w:pPr>
      <w:r>
        <w:drawing>
          <wp:inline distT="0" distB="0" distL="114300" distR="114300">
            <wp:extent cx="4989830" cy="3900805"/>
            <wp:effectExtent l="0" t="0" r="1270" b="4445"/>
            <wp:docPr id="1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
                    <pic:cNvPicPr>
                      <a:picLocks noChangeAspect="1"/>
                    </pic:cNvPicPr>
                  </pic:nvPicPr>
                  <pic:blipFill>
                    <a:blip r:embed="rId15"/>
                    <a:stretch>
                      <a:fillRect/>
                    </a:stretch>
                  </pic:blipFill>
                  <pic:spPr>
                    <a:xfrm>
                      <a:off x="0" y="0"/>
                      <a:ext cx="4989830" cy="3900805"/>
                    </a:xfrm>
                    <a:prstGeom prst="rect">
                      <a:avLst/>
                    </a:prstGeom>
                    <a:noFill/>
                    <a:ln>
                      <a:noFill/>
                    </a:ln>
                  </pic:spPr>
                </pic:pic>
              </a:graphicData>
            </a:graphic>
          </wp:inline>
        </w:drawing>
      </w:r>
    </w:p>
    <w:p w14:paraId="0985CE6F">
      <w:pPr>
        <w:spacing w:line="360" w:lineRule="auto"/>
        <w:ind w:firstLine="482" w:firstLineChars="200"/>
        <w:jc w:val="center"/>
        <w:rPr>
          <w:rFonts w:hint="eastAsia" w:ascii="Times New Roman" w:hAnsi="Times New Roman"/>
          <w:b/>
          <w:bCs/>
          <w:color w:val="000000" w:themeColor="text1"/>
          <w:lang w:val="en-US" w:eastAsia="zh-CN"/>
          <w14:textFill>
            <w14:solidFill>
              <w14:schemeClr w14:val="tx1"/>
            </w14:solidFill>
          </w14:textFill>
        </w:rPr>
      </w:pPr>
      <w:r>
        <w:rPr>
          <w:rFonts w:hint="eastAsia" w:ascii="Times New Roman" w:hAnsi="Times New Roman"/>
          <w:b/>
          <w:bCs/>
          <w:color w:val="000000" w:themeColor="text1"/>
          <w:lang w:val="en-US" w:eastAsia="zh-CN"/>
          <w14:textFill>
            <w14:solidFill>
              <w14:schemeClr w14:val="tx1"/>
            </w14:solidFill>
          </w14:textFill>
        </w:rPr>
        <w:t>图4-6电炉炼钢工艺流程及产污环节</w:t>
      </w:r>
    </w:p>
    <w:p w14:paraId="60B0606D">
      <w:pPr>
        <w:bidi w:val="0"/>
        <w:rPr>
          <w:b/>
          <w:bCs/>
        </w:rPr>
      </w:pPr>
      <w:r>
        <w:rPr>
          <w:rFonts w:hint="default"/>
          <w:b/>
          <w:bCs/>
        </w:rPr>
        <w:t>③</w:t>
      </w:r>
      <w:r>
        <w:rPr>
          <w:rFonts w:hint="eastAsia"/>
          <w:b/>
          <w:bCs/>
        </w:rPr>
        <w:t>石灰石焙烧</w:t>
      </w:r>
    </w:p>
    <w:p w14:paraId="541D3A10">
      <w:pPr>
        <w:bidi w:val="0"/>
      </w:pPr>
      <w:r>
        <w:rPr>
          <w:rFonts w:hint="eastAsia"/>
        </w:rPr>
        <w:t>石灰石焙烧设施主要有竖窑和回转窑。</w:t>
      </w:r>
    </w:p>
    <w:p w14:paraId="53733426">
      <w:pPr>
        <w:bidi w:val="0"/>
      </w:pPr>
      <w:r>
        <w:rPr>
          <w:rFonts w:hint="eastAsia"/>
        </w:rPr>
        <w:t>a）竖窑石灰石焙烧</w:t>
      </w:r>
    </w:p>
    <w:p w14:paraId="2D578EB7">
      <w:pPr>
        <w:bidi w:val="0"/>
        <w:rPr>
          <w:rFonts w:hint="eastAsia" w:ascii="Times New Roman" w:hAnsi="Times New Roman"/>
          <w:b/>
          <w:bCs/>
          <w:color w:val="000000" w:themeColor="text1"/>
          <w:lang w:val="en-US" w:eastAsia="zh-CN"/>
          <w14:textFill>
            <w14:solidFill>
              <w14:schemeClr w14:val="tx1"/>
            </w14:solidFill>
          </w14:textFill>
        </w:rPr>
      </w:pPr>
      <w:r>
        <w:t>购进粒度在40mm</w:t>
      </w:r>
      <w:r>
        <w:rPr>
          <w:rFonts w:hint="eastAsia"/>
        </w:rPr>
        <w:t>-</w:t>
      </w:r>
      <w:r>
        <w:t>80mm的石灰石存放于料场，由矿槽方孔筛初步筛分进入矿槽内，再由振动给料机和振动筛分机将合格的石灰石料筛进称量斗，放进小车，由卷扬提升机提到竖窑顶部料仓。筛分不合格石灰石料由返粉皮带，斗式提升机送到返粉仓，由汽车运到相应用户。合格石灰石由竖窑顶部料仓进入竖窑预热段，经过预热后，由布料板按制定的时间逐个把预热段的料推进焙烧段煅烧，石灰石经过800~1000℃的高温煅烧充分分解烧成CaO含量较高的生石灰块</w:t>
      </w:r>
      <w:r>
        <w:rPr>
          <w:rFonts w:hint="eastAsia"/>
        </w:rPr>
        <w:t>，</w:t>
      </w:r>
      <w:r>
        <w:t>由二次风机从下往上吹风冷却，同时将回收的二次风抽进窑内参加助燃提温。冷却后的生石灰块由振动机送到链板输送机、斗式提升机、皮带输送机进行分仓，生石灰块进入石灰块仓，一部分生石灰块经过破碎机破碎到小于3mm的生石灰粉放到石灰粉仓，而后再由汽车分别送到炼钢、烧结分厂。白灰</w:t>
      </w:r>
      <w:r>
        <w:rPr>
          <w:rFonts w:hint="eastAsia"/>
        </w:rPr>
        <w:t>竖</w:t>
      </w:r>
      <w:r>
        <w:t>窑生产工艺流程图见图</w:t>
      </w:r>
      <w:r>
        <w:rPr>
          <w:rFonts w:hint="eastAsia"/>
        </w:rPr>
        <w:t>4-</w:t>
      </w:r>
      <w:r>
        <w:rPr>
          <w:rFonts w:hint="eastAsia"/>
          <w:lang w:val="en-US" w:eastAsia="zh-CN"/>
        </w:rPr>
        <w:t>7a)</w:t>
      </w:r>
      <w:r>
        <w:t>。</w:t>
      </w:r>
    </w:p>
    <w:p w14:paraId="109D4031">
      <w:pPr>
        <w:bidi w:val="0"/>
      </w:pPr>
      <w:r>
        <w:rPr>
          <w:rFonts w:hint="eastAsia"/>
        </w:rPr>
        <w:t>b）白灰回转窑</w:t>
      </w:r>
    </w:p>
    <w:p w14:paraId="3BA28407">
      <w:pPr>
        <w:bidi w:val="0"/>
      </w:pPr>
      <w:r>
        <w:rPr>
          <w:rFonts w:hint="eastAsia"/>
        </w:rPr>
        <w:t>回转窑石灰石培烧主要由原料储运系统、回转窑培烧系统、成品筛分、粉质处理系统及成品储运系统等组成。</w:t>
      </w:r>
    </w:p>
    <w:p w14:paraId="0674BF2A">
      <w:pPr>
        <w:bidi w:val="0"/>
      </w:pPr>
      <w:r>
        <w:rPr>
          <w:rFonts w:hint="eastAsia"/>
        </w:rPr>
        <w:t>ⅰ</w:t>
      </w:r>
      <w:r>
        <w:rPr>
          <w:rFonts w:hint="eastAsia"/>
          <w:lang w:eastAsia="zh-CN"/>
        </w:rPr>
        <w:t>）</w:t>
      </w:r>
      <w:r>
        <w:t>上料及筛分系统</w:t>
      </w:r>
    </w:p>
    <w:p w14:paraId="73716BD8">
      <w:pPr>
        <w:bidi w:val="0"/>
      </w:pPr>
      <w:r>
        <w:t>石灰石由装载机卸入石灰石受料仓中，经棒阀、电振给料机卸料后由大倾角胶带输送机送入两级单层振动筛，筛分合格物料再通过大倾角转运胶带输送机送到预热器顶部的受料仓内。20mm以下碎</w:t>
      </w:r>
      <w:r>
        <w:rPr>
          <w:rFonts w:hint="eastAsia"/>
        </w:rPr>
        <w:t>石</w:t>
      </w:r>
      <w:r>
        <w:t>由汽车转运出厂。40mm以上的块料经颚式破碎机破碎后进入块料仓，仓下设电振给料机和皮带输送机，返回石灰石受料口形成闭路循环。送往竖式预热器的大倾角胶带输送机设有双托辊电子皮带秤，对入窑石灰石计量。</w:t>
      </w:r>
    </w:p>
    <w:p w14:paraId="352BFE56">
      <w:pPr>
        <w:bidi w:val="0"/>
      </w:pPr>
      <w:r>
        <w:rPr>
          <w:rFonts w:hint="eastAsia"/>
        </w:rPr>
        <w:t>ⅱ</w:t>
      </w:r>
      <w:r>
        <w:rPr>
          <w:rFonts w:hint="eastAsia"/>
          <w:lang w:eastAsia="zh-CN"/>
        </w:rPr>
        <w:t>）</w:t>
      </w:r>
      <w:r>
        <w:t>烧成系统</w:t>
      </w:r>
    </w:p>
    <w:p w14:paraId="13B2AA15">
      <w:pPr>
        <w:bidi w:val="0"/>
      </w:pPr>
      <w:r>
        <w:t>石灰烧成系统主要由竖式预热器、回转窑、竖式冷却器、一、二次风机及其他辅助设备构成。预热器受料仓内石灰石经下料管送到预热器主体内，经1000--1100</w:t>
      </w:r>
      <w:r>
        <w:rPr>
          <w:rFonts w:hint="eastAsia"/>
        </w:rPr>
        <w:t>℃。</w:t>
      </w:r>
      <w:r>
        <w:t>窑尾废气均匀地预热到900</w:t>
      </w:r>
      <w:r>
        <w:rPr>
          <w:rFonts w:hint="eastAsia"/>
        </w:rPr>
        <w:t>℃</w:t>
      </w:r>
      <w:r>
        <w:t>左右。废气则通过预热器上部的18个排气孔汇集在一起进入窑尾废气处理系统，以经部分分解的石灰石经18个液压推杆推动，通过加料室进入到回转窑内进行煅烧。煅烧后的石灰经窑头进入竖式冷却器，进入冷却器的石灰在二次风机鼓风下，使石灰温度从约1150</w:t>
      </w:r>
      <w:r>
        <w:rPr>
          <w:rFonts w:hint="eastAsia"/>
        </w:rPr>
        <w:t>℃</w:t>
      </w:r>
      <w:r>
        <w:t>迅速冷却到100度</w:t>
      </w:r>
      <w:r>
        <w:rPr>
          <w:rFonts w:hint="eastAsia"/>
        </w:rPr>
        <w:t>℃</w:t>
      </w:r>
      <w:r>
        <w:t>以下，然后经链斗输送机送到石灰库中。煅烧后过烧大块经窑头大料排放口排出，由车辆外运处理。</w:t>
      </w:r>
    </w:p>
    <w:p w14:paraId="3190D3ED">
      <w:pPr>
        <w:bidi w:val="0"/>
      </w:pPr>
      <w:r>
        <w:rPr>
          <w:rFonts w:hint="eastAsia"/>
        </w:rPr>
        <w:t>ⅲ</w:t>
      </w:r>
      <w:r>
        <w:rPr>
          <w:rFonts w:hint="eastAsia"/>
          <w:lang w:eastAsia="zh-CN"/>
        </w:rPr>
        <w:t>）</w:t>
      </w:r>
      <w:r>
        <w:t>成品石灰筛分储运系统</w:t>
      </w:r>
    </w:p>
    <w:p w14:paraId="18A05345">
      <w:pPr>
        <w:bidi w:val="0"/>
        <w:rPr>
          <w:rFonts w:hint="eastAsia"/>
        </w:rPr>
      </w:pPr>
      <w:r>
        <w:t>经冷却器冷却至100度以下灰块由链斗输送机经电动三通喂入振动筛中筛分，筛上8-40mm物料由胶带输送机喂入石灰库中储存。小于8mm的筛下物自流入</w:t>
      </w:r>
      <w:r>
        <w:rPr>
          <w:rFonts w:hint="eastAsia"/>
        </w:rPr>
        <w:t>灰库</w:t>
      </w:r>
      <w:r>
        <w:t>库中储存。库底卸料装置通过皮带均匀给入锤式破碎机中。</w:t>
      </w:r>
      <w:r>
        <w:rPr>
          <w:rFonts w:hint="eastAsia"/>
        </w:rPr>
        <w:t>白灰回转窑工艺流程及排污节点见图4-</w:t>
      </w:r>
      <w:r>
        <w:rPr>
          <w:rFonts w:hint="eastAsia"/>
          <w:lang w:val="en-US" w:eastAsia="zh-CN"/>
        </w:rPr>
        <w:t>7b)</w:t>
      </w:r>
      <w:r>
        <w:rPr>
          <w:rFonts w:hint="eastAsia"/>
        </w:rPr>
        <w:t>。</w:t>
      </w:r>
    </w:p>
    <w:p w14:paraId="341053BE">
      <w:pPr>
        <w:numPr>
          <w:ilvl w:val="0"/>
          <w:numId w:val="6"/>
        </w:numPr>
        <w:bidi w:val="0"/>
        <w:rPr>
          <w:rFonts w:hint="eastAsia"/>
          <w:b/>
          <w:bCs/>
          <w:lang w:val="en-US" w:eastAsia="zh-CN"/>
        </w:rPr>
      </w:pPr>
      <w:r>
        <w:rPr>
          <w:rFonts w:hint="eastAsia"/>
          <w:b/>
          <w:bCs/>
          <w:lang w:val="en-US" w:eastAsia="zh-CN"/>
        </w:rPr>
        <w:t>污染物排放特征</w:t>
      </w:r>
    </w:p>
    <w:p w14:paraId="2B912A68">
      <w:pPr>
        <w:bidi w:val="0"/>
        <w:rPr>
          <w:rFonts w:hint="eastAsia" w:eastAsia="宋体"/>
          <w:lang w:val="en-US" w:eastAsia="zh-CN"/>
        </w:rPr>
      </w:pPr>
      <w:r>
        <w:rPr>
          <w:rFonts w:hint="eastAsia" w:ascii="宋体" w:hAnsi="宋体" w:eastAsia="宋体" w:cs="宋体"/>
          <w:color w:val="000000"/>
          <w:spacing w:val="-3"/>
          <w:sz w:val="24"/>
          <w:szCs w:val="24"/>
        </w:rPr>
        <w:t>炼钢工序产生的污染物主要包括颗粒物、SO</w:t>
      </w:r>
      <w:r>
        <w:rPr>
          <w:rFonts w:hint="eastAsia" w:ascii="宋体" w:hAnsi="宋体" w:eastAsia="宋体" w:cs="宋体"/>
          <w:color w:val="000000"/>
          <w:spacing w:val="-3"/>
          <w:sz w:val="24"/>
          <w:szCs w:val="24"/>
          <w:vertAlign w:val="subscript"/>
        </w:rPr>
        <w:t>2</w:t>
      </w:r>
      <w:r>
        <w:rPr>
          <w:rFonts w:hint="eastAsia" w:ascii="宋体" w:hAnsi="宋体" w:eastAsia="宋体" w:cs="宋体"/>
          <w:color w:val="000000"/>
          <w:spacing w:val="-3"/>
          <w:sz w:val="24"/>
          <w:szCs w:val="24"/>
        </w:rPr>
        <w:t>、NOx等。</w:t>
      </w:r>
      <w:r>
        <w:t>炼钢工序主要可以分为转炉长流程炼钢及电炉短流程炼钢两类不同的技术路线。</w:t>
      </w:r>
      <w:r>
        <w:rPr>
          <w:rFonts w:hint="eastAsia"/>
        </w:rPr>
        <w:t>炼钢工艺主要大气污染物及来源</w:t>
      </w:r>
      <w:r>
        <w:rPr>
          <w:rFonts w:hint="eastAsia"/>
          <w:lang w:val="en-US" w:eastAsia="zh-CN"/>
        </w:rPr>
        <w:t>见表4-7。</w:t>
      </w:r>
    </w:p>
    <w:p w14:paraId="71443396">
      <w:pPr>
        <w:bidi w:val="0"/>
        <w:rPr>
          <w:rFonts w:hint="eastAsia"/>
        </w:rPr>
      </w:pPr>
    </w:p>
    <w:p w14:paraId="789F8EBC">
      <w:pPr>
        <w:bidi w:val="0"/>
        <w:rPr>
          <w:rFonts w:hint="eastAsia"/>
        </w:rPr>
      </w:pPr>
    </w:p>
    <w:p w14:paraId="254B8B0A">
      <w:pPr>
        <w:bidi w:val="0"/>
        <w:ind w:left="0" w:leftChars="0" w:firstLine="0" w:firstLineChars="0"/>
        <w:rPr>
          <w:rFonts w:hint="eastAsia"/>
        </w:rPr>
      </w:pPr>
      <w:r>
        <w:rPr>
          <w:sz w:val="24"/>
        </w:rPr>
        <mc:AlternateContent>
          <mc:Choice Requires="wpg">
            <w:drawing>
              <wp:anchor distT="0" distB="0" distL="114300" distR="114300" simplePos="0" relativeHeight="251659264" behindDoc="0" locked="0" layoutInCell="1" allowOverlap="1">
                <wp:simplePos x="0" y="0"/>
                <wp:positionH relativeFrom="column">
                  <wp:posOffset>93345</wp:posOffset>
                </wp:positionH>
                <wp:positionV relativeFrom="paragraph">
                  <wp:posOffset>226695</wp:posOffset>
                </wp:positionV>
                <wp:extent cx="4925695" cy="2733040"/>
                <wp:effectExtent l="0" t="0" r="8255" b="10160"/>
                <wp:wrapNone/>
                <wp:docPr id="176" name="组合 176"/>
                <wp:cNvGraphicFramePr/>
                <a:graphic xmlns:a="http://schemas.openxmlformats.org/drawingml/2006/main">
                  <a:graphicData uri="http://schemas.microsoft.com/office/word/2010/wordprocessingGroup">
                    <wpg:wgp>
                      <wpg:cNvGrpSpPr/>
                      <wpg:grpSpPr>
                        <a:xfrm>
                          <a:off x="0" y="0"/>
                          <a:ext cx="4925695" cy="2733040"/>
                          <a:chOff x="1631" y="588044"/>
                          <a:chExt cx="9125" cy="5336"/>
                        </a:xfrm>
                      </wpg:grpSpPr>
                      <wpg:grpSp>
                        <wpg:cNvPr id="172" name="组合 172"/>
                        <wpg:cNvGrpSpPr/>
                        <wpg:grpSpPr>
                          <a:xfrm>
                            <a:off x="1748" y="588044"/>
                            <a:ext cx="9009" cy="5336"/>
                            <a:chOff x="2204" y="573246"/>
                            <a:chExt cx="9009" cy="5336"/>
                          </a:xfrm>
                        </wpg:grpSpPr>
                        <pic:pic xmlns:pic="http://schemas.openxmlformats.org/drawingml/2006/picture">
                          <pic:nvPicPr>
                            <pic:cNvPr id="167" name="图片 9"/>
                            <pic:cNvPicPr>
                              <a:picLocks noChangeAspect="1"/>
                            </pic:cNvPicPr>
                          </pic:nvPicPr>
                          <pic:blipFill>
                            <a:blip r:embed="rId16"/>
                            <a:srcRect l="4126" r="6387"/>
                            <a:stretch>
                              <a:fillRect/>
                            </a:stretch>
                          </pic:blipFill>
                          <pic:spPr>
                            <a:xfrm>
                              <a:off x="2204" y="573246"/>
                              <a:ext cx="4257" cy="5337"/>
                            </a:xfrm>
                            <a:prstGeom prst="rect">
                              <a:avLst/>
                            </a:prstGeom>
                            <a:noFill/>
                            <a:ln>
                              <a:noFill/>
                            </a:ln>
                          </pic:spPr>
                        </pic:pic>
                        <pic:pic xmlns:pic="http://schemas.openxmlformats.org/drawingml/2006/picture">
                          <pic:nvPicPr>
                            <pic:cNvPr id="168" name="图片 10"/>
                            <pic:cNvPicPr>
                              <a:picLocks noChangeAspect="1"/>
                            </pic:cNvPicPr>
                          </pic:nvPicPr>
                          <pic:blipFill>
                            <a:blip r:embed="rId17"/>
                            <a:stretch>
                              <a:fillRect/>
                            </a:stretch>
                          </pic:blipFill>
                          <pic:spPr>
                            <a:xfrm>
                              <a:off x="6845" y="573367"/>
                              <a:ext cx="4369" cy="5187"/>
                            </a:xfrm>
                            <a:prstGeom prst="rect">
                              <a:avLst/>
                            </a:prstGeom>
                            <a:noFill/>
                            <a:ln>
                              <a:noFill/>
                            </a:ln>
                          </pic:spPr>
                        </pic:pic>
                      </wpg:grpSp>
                      <wpg:grpSp>
                        <wpg:cNvPr id="175" name="组合 175"/>
                        <wpg:cNvGrpSpPr/>
                        <wpg:grpSpPr>
                          <a:xfrm>
                            <a:off x="1631" y="588162"/>
                            <a:ext cx="5959" cy="582"/>
                            <a:chOff x="1631" y="588162"/>
                            <a:chExt cx="5959" cy="582"/>
                          </a:xfrm>
                        </wpg:grpSpPr>
                        <wps:wsp>
                          <wps:cNvPr id="173" name="文本框 173"/>
                          <wps:cNvSpPr txBox="1"/>
                          <wps:spPr>
                            <a:xfrm>
                              <a:off x="1631" y="588162"/>
                              <a:ext cx="1177" cy="5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C4981">
                                <w:pP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a)</w:t>
                                </w:r>
                              </w:p>
                              <w:p w14:paraId="765A3F3B">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文本框 174"/>
                          <wps:cNvSpPr txBox="1"/>
                          <wps:spPr>
                            <a:xfrm>
                              <a:off x="6414" y="588162"/>
                              <a:ext cx="1177" cy="5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A5FE0">
                                <w:pPr>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b</w:t>
                                </w:r>
                                <w:r>
                                  <w:rPr>
                                    <w:rFonts w:hint="default" w:ascii="Times New Roman" w:hAnsi="Times New Roman" w:cs="Times New Roman"/>
                                    <w:b/>
                                    <w:bCs/>
                                    <w:lang w:val="en-US" w:eastAsia="zh-CN"/>
                                  </w:rPr>
                                  <w:t>)</w:t>
                                </w:r>
                              </w:p>
                              <w:p w14:paraId="346D0614">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7.35pt;margin-top:17.85pt;height:215.2pt;width:387.85pt;z-index:251659264;mso-width-relative:page;mso-height-relative:page;" coordorigin="1631,588044" coordsize="9125,5336" o:gfxdata="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">
                <o:lock v:ext="edit" aspectratio="f"/>
                <v:group id="_x0000_s1026" o:spid="_x0000_s1026" o:spt="203" style="position:absolute;left:1748;top:588044;height:5336;width:9009;" coordorigin="2204,573246" coordsize="9009,5336"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shape id="图片 9" o:spid="_x0000_s1026" o:spt="75" type="#_x0000_t75" style="position:absolute;left:2204;top:573246;height:5337;width:4257;" filled="f" o:preferrelative="t" stroked="f" coordsize="21600,21600" o:gfxdata="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sD9ZugAAANwA&#10;AAAPAAAAAAAAAAEAIAAAACIAAABkcnMvZG93bnJldi54bWxQSwECFAAUAAAACACHTuJAMy8FnjsA&#10;AAA5AAAAEAAAAAAAAAABACAAAAAJAQAAZHJzL3NoYXBleG1sLnhtbFBLBQYAAAAABgAGAFsBAACz&#10;AwAAAAA=&#10;">
                    <v:fill on="f" focussize="0,0"/>
                    <v:stroke on="f"/>
                    <v:imagedata r:id="rId16" cropleft="2704f" cropright="4186f" o:title=""/>
                    <o:lock v:ext="edit" aspectratio="t"/>
                  </v:shape>
                  <v:shape id="图片 10" o:spid="_x0000_s1026" o:spt="75" type="#_x0000_t75" style="position:absolute;left:6845;top:573367;height:5187;width:4369;" filled="f" o:preferrelative="t" stroked="f" coordsize="21600,21600" o:gfxdata="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oqSu8AAAA&#10;3AAAAA8AAAAAAAAAAQAgAAAAIgAAAGRycy9kb3ducmV2LnhtbFBLAQIUABQAAAAIAIdO4kAzLwWe&#10;OwAAADkAAAAQAAAAAAAAAAEAIAAAAAsBAABkcnMvc2hhcGV4bWwueG1sUEsFBgAAAAAGAAYAWwEA&#10;ALUDAAAAAA==&#10;">
                    <v:fill on="f" focussize="0,0"/>
                    <v:stroke on="f"/>
                    <v:imagedata r:id="rId17" o:title=""/>
                    <o:lock v:ext="edit" aspectratio="t"/>
                  </v:shape>
                </v:group>
                <v:group id="_x0000_s1026" o:spid="_x0000_s1026" o:spt="203" style="position:absolute;left:1631;top:588162;height:582;width:5959;" coordorigin="1631,588162" coordsize="5959,582"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1631;top:588162;height:582;width:1177;" filled="f" stroked="f" coordsize="21600,21600" o:gfxdata="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uCE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FDC4981">
                          <w:pP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a)</w:t>
                          </w:r>
                        </w:p>
                        <w:p w14:paraId="765A3F3B">
                          <w:pPr>
                            <w:rPr>
                              <w:rFonts w:hint="default"/>
                              <w:lang w:val="en-US" w:eastAsia="zh-CN"/>
                            </w:rPr>
                          </w:pPr>
                        </w:p>
                      </w:txbxContent>
                    </v:textbox>
                  </v:shape>
                  <v:shape id="_x0000_s1026" o:spid="_x0000_s1026" o:spt="202" type="#_x0000_t202" style="position:absolute;left:6414;top:588162;height:582;width:1177;" filled="f" stroked="f" coordsize="21600,21600" o:gfxdata="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93j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76A5FE0">
                          <w:pPr>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b</w:t>
                          </w:r>
                          <w:r>
                            <w:rPr>
                              <w:rFonts w:hint="default" w:ascii="Times New Roman" w:hAnsi="Times New Roman" w:cs="Times New Roman"/>
                              <w:b/>
                              <w:bCs/>
                              <w:lang w:val="en-US" w:eastAsia="zh-CN"/>
                            </w:rPr>
                            <w:t>)</w:t>
                          </w:r>
                        </w:p>
                        <w:p w14:paraId="346D0614">
                          <w:pPr>
                            <w:rPr>
                              <w:rFonts w:hint="default"/>
                              <w:lang w:val="en-US" w:eastAsia="zh-CN"/>
                            </w:rPr>
                          </w:pPr>
                        </w:p>
                      </w:txbxContent>
                    </v:textbox>
                  </v:shape>
                </v:group>
              </v:group>
            </w:pict>
          </mc:Fallback>
        </mc:AlternateContent>
      </w:r>
    </w:p>
    <w:p w14:paraId="5CDB2DB6">
      <w:pPr>
        <w:bidi w:val="0"/>
        <w:ind w:left="0" w:leftChars="0" w:firstLine="0" w:firstLineChars="0"/>
        <w:rPr>
          <w:rFonts w:hint="eastAsia"/>
        </w:rPr>
      </w:pPr>
    </w:p>
    <w:p w14:paraId="1C53FB61">
      <w:pPr>
        <w:bidi w:val="0"/>
        <w:ind w:left="0" w:leftChars="0" w:firstLine="0" w:firstLineChars="0"/>
        <w:rPr>
          <w:rFonts w:hint="eastAsia"/>
        </w:rPr>
      </w:pPr>
    </w:p>
    <w:p w14:paraId="6F8CE1CA">
      <w:pPr>
        <w:bidi w:val="0"/>
        <w:ind w:left="0" w:leftChars="0" w:firstLine="0" w:firstLineChars="0"/>
        <w:rPr>
          <w:rFonts w:hint="eastAsia"/>
        </w:rPr>
      </w:pPr>
    </w:p>
    <w:p w14:paraId="6CC0F257">
      <w:pPr>
        <w:bidi w:val="0"/>
        <w:rPr>
          <w:rFonts w:hint="eastAsia"/>
        </w:rPr>
      </w:pPr>
    </w:p>
    <w:p w14:paraId="50EAF16E">
      <w:pPr>
        <w:bidi w:val="0"/>
        <w:rPr>
          <w:rFonts w:hint="eastAsia"/>
        </w:rPr>
      </w:pPr>
    </w:p>
    <w:p w14:paraId="79680342">
      <w:pPr>
        <w:bidi w:val="0"/>
        <w:rPr>
          <w:rFonts w:hint="eastAsia"/>
        </w:rPr>
      </w:pPr>
    </w:p>
    <w:p w14:paraId="162B1340">
      <w:pPr>
        <w:bidi w:val="0"/>
        <w:rPr>
          <w:rFonts w:hint="eastAsia"/>
        </w:rPr>
      </w:pPr>
    </w:p>
    <w:p w14:paraId="0C267B27">
      <w:pPr>
        <w:bidi w:val="0"/>
        <w:rPr>
          <w:rFonts w:hint="eastAsia"/>
        </w:rPr>
      </w:pPr>
    </w:p>
    <w:p w14:paraId="6E478D96">
      <w:pPr>
        <w:spacing w:line="360" w:lineRule="auto"/>
        <w:ind w:firstLine="482" w:firstLineChars="200"/>
        <w:jc w:val="center"/>
        <w:rPr>
          <w:rFonts w:hint="eastAsia" w:ascii="Times New Roman" w:hAnsi="Times New Roman"/>
          <w:b/>
          <w:bCs/>
          <w:color w:val="000000" w:themeColor="text1"/>
          <w:lang w:val="en-US" w:eastAsia="zh-CN"/>
          <w14:textFill>
            <w14:solidFill>
              <w14:schemeClr w14:val="tx1"/>
            </w14:solidFill>
          </w14:textFill>
        </w:rPr>
      </w:pPr>
    </w:p>
    <w:p w14:paraId="3A73FC89">
      <w:pPr>
        <w:spacing w:line="360" w:lineRule="auto"/>
        <w:ind w:firstLine="482" w:firstLineChars="200"/>
        <w:jc w:val="center"/>
        <w:rPr>
          <w:rFonts w:hint="eastAsia" w:ascii="Times New Roman" w:hAnsi="Times New Roman"/>
          <w:b/>
          <w:bCs/>
          <w:color w:val="000000" w:themeColor="text1"/>
          <w:lang w:val="en-US" w:eastAsia="zh-CN"/>
          <w14:textFill>
            <w14:solidFill>
              <w14:schemeClr w14:val="tx1"/>
            </w14:solidFill>
          </w14:textFill>
        </w:rPr>
      </w:pPr>
      <w:r>
        <w:rPr>
          <w:rFonts w:hint="eastAsia" w:ascii="Times New Roman" w:hAnsi="Times New Roman"/>
          <w:b/>
          <w:bCs/>
          <w:color w:val="000000" w:themeColor="text1"/>
          <w:lang w:val="en-US" w:eastAsia="zh-CN"/>
          <w14:textFill>
            <w14:solidFill>
              <w14:schemeClr w14:val="tx1"/>
            </w14:solidFill>
          </w14:textFill>
        </w:rPr>
        <w:t>图4-7竖窑和石灰回转窑工艺流程及产污环节</w:t>
      </w:r>
    </w:p>
    <w:p w14:paraId="5468807F">
      <w:pPr>
        <w:bidi w:val="0"/>
        <w:ind w:left="0" w:leftChars="0" w:firstLine="0" w:firstLineChars="0"/>
        <w:jc w:val="center"/>
        <w:rPr>
          <w:rFonts w:hint="eastAsia"/>
          <w:b/>
          <w:bCs/>
        </w:rPr>
      </w:pPr>
      <w:r>
        <w:rPr>
          <w:rFonts w:hint="eastAsia"/>
          <w:b/>
          <w:bCs/>
        </w:rPr>
        <w:t>表</w:t>
      </w:r>
      <w:r>
        <w:rPr>
          <w:rFonts w:hint="eastAsia"/>
          <w:b/>
          <w:bCs/>
          <w:lang w:val="en-US" w:eastAsia="zh-CN"/>
        </w:rPr>
        <w:t>4-7</w:t>
      </w:r>
      <w:r>
        <w:rPr>
          <w:rFonts w:hint="eastAsia"/>
          <w:b/>
          <w:bCs/>
        </w:rPr>
        <w:t>炼钢工序粉尘特性</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4684"/>
        <w:gridCol w:w="2560"/>
      </w:tblGrid>
      <w:tr w14:paraId="4986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8" w:type="dxa"/>
            <w:vAlign w:val="center"/>
          </w:tcPr>
          <w:p w14:paraId="49F9981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工序</w:t>
            </w:r>
          </w:p>
        </w:tc>
        <w:tc>
          <w:tcPr>
            <w:tcW w:w="4684" w:type="dxa"/>
            <w:vAlign w:val="center"/>
          </w:tcPr>
          <w:p w14:paraId="0D24F90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产污节点</w:t>
            </w:r>
          </w:p>
        </w:tc>
        <w:tc>
          <w:tcPr>
            <w:tcW w:w="2560" w:type="dxa"/>
            <w:vAlign w:val="center"/>
          </w:tcPr>
          <w:p w14:paraId="2B87079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主要污染物</w:t>
            </w:r>
          </w:p>
        </w:tc>
      </w:tr>
      <w:tr w14:paraId="1E5B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8" w:type="dxa"/>
            <w:vAlign w:val="center"/>
          </w:tcPr>
          <w:p w14:paraId="3B9C544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石灰石焙烧</w:t>
            </w:r>
          </w:p>
        </w:tc>
        <w:tc>
          <w:tcPr>
            <w:tcW w:w="4684" w:type="dxa"/>
            <w:vAlign w:val="center"/>
          </w:tcPr>
          <w:p w14:paraId="0C35D8A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lang w:val="en-US" w:eastAsia="zh-CN"/>
              </w:rPr>
              <w:t>石灰窑、白云石窑焙烧</w:t>
            </w:r>
          </w:p>
        </w:tc>
        <w:tc>
          <w:tcPr>
            <w:tcW w:w="2560" w:type="dxa"/>
            <w:vAlign w:val="center"/>
          </w:tcPr>
          <w:p w14:paraId="6C5335A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1"/>
                <w:szCs w:val="21"/>
                <w:lang w:val="en-US"/>
              </w:rPr>
            </w:pPr>
            <w:r>
              <w:rPr>
                <w:rFonts w:hint="eastAsia" w:ascii="宋体" w:hAnsi="宋体" w:cs="宋体"/>
                <w:sz w:val="21"/>
                <w:szCs w:val="21"/>
              </w:rPr>
              <w:t>颗粒物、</w:t>
            </w:r>
            <w:r>
              <w:rPr>
                <w:rFonts w:hint="eastAsia" w:ascii="宋体" w:hAnsi="宋体" w:cs="宋体"/>
                <w:sz w:val="21"/>
                <w:szCs w:val="21"/>
                <w:lang w:val="en-US" w:eastAsia="zh-CN"/>
              </w:rPr>
              <w:t>SO</w:t>
            </w:r>
            <w:r>
              <w:rPr>
                <w:rFonts w:hint="eastAsia" w:ascii="宋体" w:hAnsi="宋体" w:cs="宋体"/>
                <w:sz w:val="21"/>
                <w:szCs w:val="21"/>
                <w:vertAlign w:val="subscript"/>
                <w:lang w:val="en-US" w:eastAsia="zh-CN"/>
              </w:rPr>
              <w:t>2</w:t>
            </w:r>
            <w:r>
              <w:rPr>
                <w:rFonts w:hint="eastAsia" w:ascii="宋体" w:hAnsi="宋体" w:cs="宋体"/>
                <w:sz w:val="21"/>
                <w:szCs w:val="21"/>
              </w:rPr>
              <w:t>、NO</w:t>
            </w:r>
            <w:r>
              <w:rPr>
                <w:rFonts w:hint="eastAsia" w:ascii="宋体" w:hAnsi="宋体" w:cs="宋体"/>
                <w:sz w:val="21"/>
                <w:szCs w:val="21"/>
                <w:lang w:val="en-US" w:eastAsia="zh-CN"/>
              </w:rPr>
              <w:t>x等</w:t>
            </w:r>
          </w:p>
        </w:tc>
      </w:tr>
      <w:tr w14:paraId="73A4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8" w:type="dxa"/>
            <w:vAlign w:val="center"/>
          </w:tcPr>
          <w:p w14:paraId="7CC7C45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lang w:val="en-US" w:eastAsia="zh-CN"/>
              </w:rPr>
              <w:t>铁水预处理</w:t>
            </w:r>
          </w:p>
        </w:tc>
        <w:tc>
          <w:tcPr>
            <w:tcW w:w="4684" w:type="dxa"/>
            <w:vAlign w:val="center"/>
          </w:tcPr>
          <w:p w14:paraId="671A118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铁水倒罐、前扒渣、后扒渣、清罐、预处理过程等</w:t>
            </w:r>
          </w:p>
        </w:tc>
        <w:tc>
          <w:tcPr>
            <w:tcW w:w="2560" w:type="dxa"/>
            <w:vAlign w:val="center"/>
          </w:tcPr>
          <w:p w14:paraId="7C90C5B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r>
      <w:tr w14:paraId="628D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8" w:type="dxa"/>
            <w:vMerge w:val="restart"/>
            <w:vAlign w:val="center"/>
          </w:tcPr>
          <w:p w14:paraId="4C76486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lang w:val="en-US" w:eastAsia="zh-CN"/>
              </w:rPr>
              <w:t>转炉炼钢</w:t>
            </w:r>
          </w:p>
        </w:tc>
        <w:tc>
          <w:tcPr>
            <w:tcW w:w="4684" w:type="dxa"/>
            <w:vAlign w:val="center"/>
          </w:tcPr>
          <w:p w14:paraId="4767F5E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吹氧冶炼(一次烟气)</w:t>
            </w:r>
          </w:p>
        </w:tc>
        <w:tc>
          <w:tcPr>
            <w:tcW w:w="2560" w:type="dxa"/>
            <w:vAlign w:val="center"/>
          </w:tcPr>
          <w:p w14:paraId="24FD62B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lang w:val="en-US" w:eastAsia="zh-CN"/>
              </w:rPr>
              <w:t>CO</w:t>
            </w:r>
            <w:r>
              <w:rPr>
                <w:rFonts w:hint="eastAsia" w:ascii="宋体" w:hAnsi="宋体" w:cs="宋体"/>
                <w:sz w:val="21"/>
                <w:szCs w:val="21"/>
              </w:rPr>
              <w:t>、颗粒物、氟化物</w:t>
            </w:r>
            <w:r>
              <w:rPr>
                <w:rFonts w:hint="eastAsia" w:ascii="宋体" w:hAnsi="宋体" w:cs="宋体"/>
                <w:sz w:val="21"/>
                <w:szCs w:val="21"/>
                <w:lang w:eastAsia="zh-CN"/>
              </w:rPr>
              <w:t>（</w:t>
            </w:r>
            <w:r>
              <w:rPr>
                <w:rFonts w:hint="eastAsia" w:ascii="宋体" w:hAnsi="宋体" w:cs="宋体"/>
                <w:sz w:val="21"/>
                <w:szCs w:val="21"/>
              </w:rPr>
              <w:t>主要成分为CaF</w:t>
            </w:r>
            <w:r>
              <w:rPr>
                <w:rFonts w:hint="eastAsia" w:ascii="宋体" w:hAnsi="宋体" w:cs="宋体"/>
                <w:sz w:val="21"/>
                <w:szCs w:val="21"/>
                <w:vertAlign w:val="subscript"/>
                <w:lang w:val="en-US" w:eastAsia="zh-CN"/>
              </w:rPr>
              <w:t>2</w:t>
            </w:r>
            <w:r>
              <w:rPr>
                <w:rFonts w:hint="eastAsia" w:ascii="宋体" w:hAnsi="宋体" w:cs="宋体"/>
                <w:sz w:val="21"/>
                <w:szCs w:val="21"/>
                <w:lang w:eastAsia="zh-CN"/>
              </w:rPr>
              <w:t>）</w:t>
            </w:r>
          </w:p>
        </w:tc>
      </w:tr>
      <w:tr w14:paraId="4601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278" w:type="dxa"/>
            <w:vMerge w:val="continue"/>
            <w:vAlign w:val="center"/>
          </w:tcPr>
          <w:p w14:paraId="5F93ABC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p>
        </w:tc>
        <w:tc>
          <w:tcPr>
            <w:tcW w:w="4684" w:type="dxa"/>
            <w:vAlign w:val="center"/>
          </w:tcPr>
          <w:p w14:paraId="2665C5E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兑铁水、加废钢、加辅料、出渣、出钢等</w:t>
            </w:r>
            <w:r>
              <w:rPr>
                <w:rFonts w:hint="eastAsia" w:ascii="宋体" w:hAnsi="宋体" w:cs="宋体"/>
                <w:sz w:val="21"/>
                <w:szCs w:val="21"/>
                <w:lang w:eastAsia="zh-CN"/>
              </w:rPr>
              <w:t>（</w:t>
            </w:r>
            <w:r>
              <w:rPr>
                <w:rFonts w:hint="eastAsia" w:ascii="宋体" w:hAnsi="宋体" w:cs="宋体"/>
                <w:sz w:val="21"/>
                <w:szCs w:val="21"/>
              </w:rPr>
              <w:t>二次烟气</w:t>
            </w:r>
            <w:r>
              <w:rPr>
                <w:rFonts w:hint="eastAsia" w:ascii="宋体" w:hAnsi="宋体" w:cs="宋体"/>
                <w:sz w:val="21"/>
                <w:szCs w:val="21"/>
                <w:lang w:eastAsia="zh-CN"/>
              </w:rPr>
              <w:t>）</w:t>
            </w:r>
          </w:p>
        </w:tc>
        <w:tc>
          <w:tcPr>
            <w:tcW w:w="2560" w:type="dxa"/>
            <w:vAlign w:val="center"/>
          </w:tcPr>
          <w:p w14:paraId="67BDACF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r>
      <w:tr w14:paraId="4220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8" w:type="dxa"/>
            <w:vMerge w:val="restart"/>
            <w:vAlign w:val="center"/>
          </w:tcPr>
          <w:p w14:paraId="1E14F2D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电炉炼钢</w:t>
            </w:r>
          </w:p>
        </w:tc>
        <w:tc>
          <w:tcPr>
            <w:tcW w:w="4684" w:type="dxa"/>
            <w:vAlign w:val="center"/>
          </w:tcPr>
          <w:p w14:paraId="5654AA7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吹氧冶炼(一次烟气)</w:t>
            </w:r>
          </w:p>
        </w:tc>
        <w:tc>
          <w:tcPr>
            <w:tcW w:w="2560" w:type="dxa"/>
            <w:vMerge w:val="restart"/>
            <w:vAlign w:val="center"/>
          </w:tcPr>
          <w:p w14:paraId="45E3EC2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颗粒物、C</w:t>
            </w:r>
            <w:r>
              <w:rPr>
                <w:rFonts w:hint="eastAsia" w:ascii="宋体" w:hAnsi="宋体" w:cs="宋体"/>
                <w:sz w:val="21"/>
                <w:szCs w:val="21"/>
                <w:lang w:val="en-US" w:eastAsia="zh-CN"/>
              </w:rPr>
              <w:t>O</w:t>
            </w:r>
            <w:r>
              <w:rPr>
                <w:rFonts w:hint="eastAsia" w:ascii="宋体" w:hAnsi="宋体" w:cs="宋体"/>
                <w:sz w:val="21"/>
                <w:szCs w:val="21"/>
              </w:rPr>
              <w:t>、NO</w:t>
            </w:r>
            <w:r>
              <w:rPr>
                <w:rFonts w:hint="eastAsia" w:ascii="宋体" w:hAnsi="宋体" w:cs="宋体"/>
                <w:sz w:val="21"/>
                <w:szCs w:val="21"/>
                <w:lang w:val="en-US" w:eastAsia="zh-CN"/>
              </w:rPr>
              <w:t>x</w:t>
            </w:r>
            <w:r>
              <w:rPr>
                <w:rFonts w:hint="eastAsia" w:ascii="宋体" w:hAnsi="宋体" w:cs="宋体"/>
                <w:sz w:val="21"/>
                <w:szCs w:val="21"/>
              </w:rPr>
              <w:t>、氟化物</w:t>
            </w:r>
            <w:r>
              <w:rPr>
                <w:rFonts w:hint="eastAsia" w:ascii="宋体" w:hAnsi="宋体" w:cs="宋体"/>
                <w:sz w:val="21"/>
                <w:szCs w:val="21"/>
                <w:lang w:eastAsia="zh-CN"/>
              </w:rPr>
              <w:t>（</w:t>
            </w:r>
            <w:r>
              <w:rPr>
                <w:rFonts w:hint="eastAsia" w:ascii="宋体" w:hAnsi="宋体" w:cs="宋体"/>
                <w:sz w:val="21"/>
                <w:szCs w:val="21"/>
              </w:rPr>
              <w:t>主要成分为CaF</w:t>
            </w:r>
            <w:r>
              <w:rPr>
                <w:rFonts w:hint="eastAsia" w:ascii="宋体" w:hAnsi="宋体" w:cs="宋体"/>
                <w:sz w:val="21"/>
                <w:szCs w:val="21"/>
                <w:vertAlign w:val="subscript"/>
                <w:lang w:val="en-US" w:eastAsia="zh-CN"/>
              </w:rPr>
              <w:t>2</w:t>
            </w:r>
            <w:r>
              <w:rPr>
                <w:rFonts w:hint="eastAsia" w:ascii="宋体" w:hAnsi="宋体" w:cs="宋体"/>
                <w:sz w:val="21"/>
                <w:szCs w:val="21"/>
                <w:lang w:eastAsia="zh-CN"/>
              </w:rPr>
              <w:t>）</w:t>
            </w:r>
            <w:r>
              <w:rPr>
                <w:rFonts w:hint="eastAsia" w:ascii="宋体" w:hAnsi="宋体" w:cs="宋体"/>
                <w:sz w:val="21"/>
                <w:szCs w:val="21"/>
              </w:rPr>
              <w:t>、二噁英、铅、锌等</w:t>
            </w:r>
          </w:p>
        </w:tc>
      </w:tr>
      <w:tr w14:paraId="6EEC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8" w:type="dxa"/>
            <w:vMerge w:val="continue"/>
            <w:vAlign w:val="center"/>
          </w:tcPr>
          <w:p w14:paraId="6ABDB51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b/>
                <w:bCs/>
                <w:sz w:val="21"/>
                <w:szCs w:val="21"/>
                <w:vertAlign w:val="baseline"/>
              </w:rPr>
            </w:pPr>
          </w:p>
        </w:tc>
        <w:tc>
          <w:tcPr>
            <w:tcW w:w="4684" w:type="dxa"/>
            <w:vAlign w:val="center"/>
          </w:tcPr>
          <w:p w14:paraId="18AB5C1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加废钢、加辅料、兑铁水、出渣、出钢等(二次烟气)</w:t>
            </w:r>
          </w:p>
        </w:tc>
        <w:tc>
          <w:tcPr>
            <w:tcW w:w="2560" w:type="dxa"/>
            <w:vMerge w:val="continue"/>
            <w:vAlign w:val="center"/>
          </w:tcPr>
          <w:p w14:paraId="259B4A2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p>
        </w:tc>
      </w:tr>
      <w:tr w14:paraId="4C00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8" w:type="dxa"/>
            <w:vAlign w:val="center"/>
          </w:tcPr>
          <w:p w14:paraId="73F36DA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lang w:val="en-US" w:eastAsia="zh-CN"/>
              </w:rPr>
            </w:pPr>
            <w:r>
              <w:rPr>
                <w:rFonts w:hint="eastAsia" w:ascii="宋体" w:hAnsi="宋体" w:cs="宋体"/>
                <w:sz w:val="21"/>
                <w:szCs w:val="21"/>
              </w:rPr>
              <w:t>精炼</w:t>
            </w:r>
          </w:p>
        </w:tc>
        <w:tc>
          <w:tcPr>
            <w:tcW w:w="4684" w:type="dxa"/>
            <w:vAlign w:val="center"/>
          </w:tcPr>
          <w:p w14:paraId="0060076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钢包精炼炉(LF)、真空循环脱气装置(RH)、真空脱气处理装置(VD)、真空吹氧脱碳装置(VOD)等设施的精炼过程</w:t>
            </w:r>
          </w:p>
        </w:tc>
        <w:tc>
          <w:tcPr>
            <w:tcW w:w="2560" w:type="dxa"/>
            <w:vAlign w:val="center"/>
          </w:tcPr>
          <w:p w14:paraId="57126A9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颗粒物、C0、氟化物</w:t>
            </w:r>
            <w:r>
              <w:rPr>
                <w:rFonts w:hint="eastAsia" w:ascii="宋体" w:hAnsi="宋体" w:cs="宋体"/>
                <w:sz w:val="21"/>
                <w:szCs w:val="21"/>
                <w:lang w:eastAsia="zh-CN"/>
              </w:rPr>
              <w:t>（</w:t>
            </w:r>
            <w:r>
              <w:rPr>
                <w:rFonts w:hint="eastAsia" w:ascii="宋体" w:hAnsi="宋体" w:cs="宋体"/>
                <w:sz w:val="21"/>
                <w:szCs w:val="21"/>
              </w:rPr>
              <w:t>主要成分为CaF</w:t>
            </w:r>
            <w:r>
              <w:rPr>
                <w:rFonts w:hint="eastAsia" w:ascii="宋体" w:hAnsi="宋体" w:cs="宋体"/>
                <w:sz w:val="21"/>
                <w:szCs w:val="21"/>
                <w:vertAlign w:val="subscript"/>
                <w:lang w:val="en-US" w:eastAsia="zh-CN"/>
              </w:rPr>
              <w:t>2</w:t>
            </w:r>
            <w:r>
              <w:rPr>
                <w:rFonts w:hint="eastAsia" w:ascii="宋体" w:hAnsi="宋体" w:cs="宋体"/>
                <w:sz w:val="21"/>
                <w:szCs w:val="21"/>
                <w:lang w:eastAsia="zh-CN"/>
              </w:rPr>
              <w:t>）</w:t>
            </w:r>
          </w:p>
        </w:tc>
      </w:tr>
      <w:tr w14:paraId="5DAA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8" w:type="dxa"/>
            <w:vAlign w:val="center"/>
          </w:tcPr>
          <w:p w14:paraId="1D1196F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lang w:val="en-US" w:eastAsia="zh-CN"/>
              </w:rPr>
            </w:pPr>
            <w:r>
              <w:rPr>
                <w:rFonts w:hint="eastAsia" w:ascii="宋体" w:hAnsi="宋体" w:cs="宋体"/>
                <w:sz w:val="21"/>
                <w:szCs w:val="21"/>
              </w:rPr>
              <w:t>连铸</w:t>
            </w:r>
          </w:p>
        </w:tc>
        <w:tc>
          <w:tcPr>
            <w:tcW w:w="4684" w:type="dxa"/>
            <w:vAlign w:val="center"/>
          </w:tcPr>
          <w:p w14:paraId="3A2902A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中间罐倾翻和修砌、连铸结晶器浇铸及添加保护渣、焰清理机作业、连铸切割机作业、二冷段铸坯冷却等</w:t>
            </w:r>
          </w:p>
        </w:tc>
        <w:tc>
          <w:tcPr>
            <w:tcW w:w="2560" w:type="dxa"/>
            <w:vAlign w:val="center"/>
          </w:tcPr>
          <w:p w14:paraId="1D650C8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r>
      <w:tr w14:paraId="1D35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8" w:type="dxa"/>
            <w:vMerge w:val="restart"/>
            <w:vAlign w:val="center"/>
          </w:tcPr>
          <w:p w14:paraId="6F3468A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其他</w:t>
            </w:r>
          </w:p>
        </w:tc>
        <w:tc>
          <w:tcPr>
            <w:tcW w:w="4684" w:type="dxa"/>
            <w:vAlign w:val="center"/>
          </w:tcPr>
          <w:p w14:paraId="317E642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原辅料输送、地下料仓、上料系统、钢渣处理等</w:t>
            </w:r>
          </w:p>
        </w:tc>
        <w:tc>
          <w:tcPr>
            <w:tcW w:w="2560" w:type="dxa"/>
            <w:vAlign w:val="center"/>
          </w:tcPr>
          <w:p w14:paraId="085DACF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r>
      <w:tr w14:paraId="321E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8" w:type="dxa"/>
            <w:vMerge w:val="continue"/>
            <w:vAlign w:val="center"/>
          </w:tcPr>
          <w:p w14:paraId="413FCAF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p>
        </w:tc>
        <w:tc>
          <w:tcPr>
            <w:tcW w:w="4684" w:type="dxa"/>
            <w:vAlign w:val="center"/>
          </w:tcPr>
          <w:p w14:paraId="4C84582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中间罐和钢包烘烤</w:t>
            </w:r>
          </w:p>
        </w:tc>
        <w:tc>
          <w:tcPr>
            <w:tcW w:w="2560" w:type="dxa"/>
            <w:vAlign w:val="center"/>
          </w:tcPr>
          <w:p w14:paraId="767F91D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lang w:eastAsia="zh-CN"/>
              </w:rPr>
            </w:pPr>
            <w:r>
              <w:rPr>
                <w:rFonts w:hint="eastAsia" w:ascii="宋体" w:hAnsi="宋体" w:cs="宋体"/>
                <w:sz w:val="21"/>
                <w:szCs w:val="21"/>
              </w:rPr>
              <w:t>SO</w:t>
            </w:r>
            <w:r>
              <w:rPr>
                <w:rFonts w:hint="eastAsia" w:ascii="宋体" w:hAnsi="宋体" w:cs="宋体"/>
                <w:sz w:val="21"/>
                <w:szCs w:val="21"/>
                <w:vertAlign w:val="subscript"/>
                <w:lang w:val="en-US" w:eastAsia="zh-CN"/>
              </w:rPr>
              <w:t>2</w:t>
            </w:r>
            <w:r>
              <w:rPr>
                <w:rFonts w:hint="eastAsia" w:ascii="宋体" w:hAnsi="宋体" w:cs="宋体"/>
                <w:sz w:val="21"/>
                <w:szCs w:val="21"/>
              </w:rPr>
              <w:t>、NO</w:t>
            </w:r>
            <w:r>
              <w:rPr>
                <w:rFonts w:hint="eastAsia" w:ascii="宋体" w:hAnsi="宋体" w:cs="宋体"/>
                <w:sz w:val="21"/>
                <w:szCs w:val="21"/>
                <w:lang w:val="en-US" w:eastAsia="zh-CN"/>
              </w:rPr>
              <w:t>x</w:t>
            </w:r>
          </w:p>
          <w:p w14:paraId="5B6537C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p>
        </w:tc>
      </w:tr>
    </w:tbl>
    <w:p w14:paraId="2F14D867">
      <w:pPr>
        <w:numPr>
          <w:ilvl w:val="0"/>
          <w:numId w:val="6"/>
        </w:numPr>
        <w:bidi w:val="0"/>
        <w:rPr>
          <w:rFonts w:hint="eastAsia" w:cs="Times New Roman"/>
          <w:b/>
          <w:bCs/>
          <w:lang w:val="en-US" w:eastAsia="zh-CN"/>
        </w:rPr>
      </w:pPr>
      <w:r>
        <w:rPr>
          <w:rFonts w:hint="eastAsia" w:cs="Times New Roman"/>
          <w:b/>
          <w:bCs/>
          <w:lang w:val="en-US" w:eastAsia="zh-CN"/>
        </w:rPr>
        <w:t>污染物控制措施</w:t>
      </w:r>
    </w:p>
    <w:p w14:paraId="5FE1FDA6">
      <w:pPr>
        <w:bidi w:val="0"/>
        <w:rPr>
          <w:rFonts w:hint="eastAsia" w:cs="Times New Roman"/>
          <w:lang w:val="en-US" w:eastAsia="zh-CN"/>
        </w:rPr>
      </w:pPr>
      <w:r>
        <w:rPr>
          <w:rFonts w:hint="eastAsia"/>
        </w:rPr>
        <w:t>转炉炼钢废气污染物排污节点及控制措施</w:t>
      </w:r>
      <w:r>
        <w:rPr>
          <w:rFonts w:hint="eastAsia"/>
          <w:lang w:val="en-US" w:eastAsia="zh-CN"/>
        </w:rPr>
        <w:t>见表4-8，电炉炼钢废气污染物排污节点及控制</w:t>
      </w:r>
      <w:r>
        <w:rPr>
          <w:rFonts w:hint="eastAsia" w:cs="Times New Roman"/>
          <w:lang w:val="en-US" w:eastAsia="zh-CN"/>
        </w:rPr>
        <w:t>措施见表4-9，</w:t>
      </w:r>
      <w:r>
        <w:rPr>
          <w:rFonts w:hint="eastAsia" w:cs="Times New Roman"/>
        </w:rPr>
        <w:t>石灰石焙烧工序污染物产生与控制措施</w:t>
      </w:r>
      <w:r>
        <w:rPr>
          <w:rFonts w:hint="eastAsia" w:cs="Times New Roman"/>
          <w:lang w:val="en-US" w:eastAsia="zh-CN"/>
        </w:rPr>
        <w:t>见表4-10。</w:t>
      </w:r>
    </w:p>
    <w:p w14:paraId="026168D0">
      <w:pPr>
        <w:bidi w:val="0"/>
        <w:ind w:left="0" w:leftChars="0" w:firstLine="0" w:firstLineChars="0"/>
        <w:jc w:val="center"/>
        <w:rPr>
          <w:rFonts w:hint="eastAsia"/>
          <w:b/>
          <w:bCs/>
          <w:lang w:val="en-US" w:eastAsia="zh-CN"/>
        </w:rPr>
      </w:pPr>
    </w:p>
    <w:p w14:paraId="77E8D0CA">
      <w:pPr>
        <w:bidi w:val="0"/>
        <w:ind w:left="0" w:leftChars="0" w:firstLine="0" w:firstLineChars="0"/>
        <w:jc w:val="center"/>
        <w:rPr>
          <w:rFonts w:hint="default"/>
          <w:lang w:val="en-US" w:eastAsia="zh-CN"/>
        </w:rPr>
      </w:pPr>
      <w:r>
        <w:rPr>
          <w:rFonts w:hint="eastAsia"/>
          <w:b/>
          <w:bCs/>
          <w:lang w:val="en-US" w:eastAsia="zh-CN"/>
        </w:rPr>
        <w:t>表4-8</w:t>
      </w:r>
      <w:r>
        <w:rPr>
          <w:rFonts w:hint="eastAsia"/>
          <w:b/>
          <w:bCs/>
        </w:rPr>
        <w:t>转炉炼钢废气污染物排污节点及控制措施</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17"/>
        <w:gridCol w:w="1430"/>
        <w:gridCol w:w="2496"/>
        <w:gridCol w:w="1843"/>
        <w:gridCol w:w="2176"/>
      </w:tblGrid>
      <w:tr w14:paraId="55148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426" w:type="dxa"/>
            <w:noWrap w:val="0"/>
            <w:vAlign w:val="center"/>
          </w:tcPr>
          <w:p w14:paraId="35D7546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序号</w:t>
            </w:r>
          </w:p>
        </w:tc>
        <w:tc>
          <w:tcPr>
            <w:tcW w:w="1464" w:type="dxa"/>
            <w:noWrap w:val="0"/>
            <w:vAlign w:val="center"/>
          </w:tcPr>
          <w:p w14:paraId="4F3D074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污染源名称</w:t>
            </w:r>
          </w:p>
        </w:tc>
        <w:tc>
          <w:tcPr>
            <w:tcW w:w="2556" w:type="dxa"/>
            <w:noWrap w:val="0"/>
            <w:vAlign w:val="center"/>
          </w:tcPr>
          <w:p w14:paraId="28ED768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产生工序</w:t>
            </w:r>
          </w:p>
        </w:tc>
        <w:tc>
          <w:tcPr>
            <w:tcW w:w="1887" w:type="dxa"/>
            <w:noWrap w:val="0"/>
            <w:vAlign w:val="center"/>
          </w:tcPr>
          <w:p w14:paraId="44112B3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主要污染物</w:t>
            </w:r>
          </w:p>
        </w:tc>
        <w:tc>
          <w:tcPr>
            <w:tcW w:w="2227" w:type="dxa"/>
            <w:noWrap w:val="0"/>
            <w:vAlign w:val="center"/>
          </w:tcPr>
          <w:p w14:paraId="30B271B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治理措施</w:t>
            </w:r>
          </w:p>
        </w:tc>
      </w:tr>
      <w:tr w14:paraId="66063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426" w:type="dxa"/>
            <w:noWrap w:val="0"/>
            <w:vAlign w:val="center"/>
          </w:tcPr>
          <w:p w14:paraId="1D34B9C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1</w:t>
            </w:r>
          </w:p>
        </w:tc>
        <w:tc>
          <w:tcPr>
            <w:tcW w:w="1464" w:type="dxa"/>
            <w:noWrap w:val="0"/>
            <w:vAlign w:val="center"/>
          </w:tcPr>
          <w:p w14:paraId="41EF85C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混铁炉</w:t>
            </w:r>
          </w:p>
        </w:tc>
        <w:tc>
          <w:tcPr>
            <w:tcW w:w="2556" w:type="dxa"/>
            <w:noWrap w:val="0"/>
            <w:vAlign w:val="center"/>
          </w:tcPr>
          <w:p w14:paraId="275210A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混铁炉兑、出铁口</w:t>
            </w:r>
          </w:p>
        </w:tc>
        <w:tc>
          <w:tcPr>
            <w:tcW w:w="1887" w:type="dxa"/>
            <w:noWrap w:val="0"/>
            <w:vAlign w:val="center"/>
          </w:tcPr>
          <w:p w14:paraId="71BD4A6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2227" w:type="dxa"/>
            <w:noWrap w:val="0"/>
            <w:vAlign w:val="center"/>
          </w:tcPr>
          <w:p w14:paraId="54E1E57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r w14:paraId="1200DC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426" w:type="dxa"/>
            <w:noWrap w:val="0"/>
            <w:vAlign w:val="center"/>
          </w:tcPr>
          <w:p w14:paraId="6A71E39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2</w:t>
            </w:r>
          </w:p>
        </w:tc>
        <w:tc>
          <w:tcPr>
            <w:tcW w:w="1464" w:type="dxa"/>
            <w:noWrap w:val="0"/>
            <w:vAlign w:val="center"/>
          </w:tcPr>
          <w:p w14:paraId="55DA3C2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散装料上料转运</w:t>
            </w:r>
          </w:p>
        </w:tc>
        <w:tc>
          <w:tcPr>
            <w:tcW w:w="2556" w:type="dxa"/>
            <w:noWrap w:val="0"/>
            <w:vAlign w:val="center"/>
          </w:tcPr>
          <w:p w14:paraId="6992FDF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散状料系统卸料、上料、转运、落料</w:t>
            </w:r>
          </w:p>
        </w:tc>
        <w:tc>
          <w:tcPr>
            <w:tcW w:w="1887" w:type="dxa"/>
            <w:noWrap w:val="0"/>
            <w:vAlign w:val="center"/>
          </w:tcPr>
          <w:p w14:paraId="555334F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2227" w:type="dxa"/>
            <w:noWrap w:val="0"/>
            <w:vAlign w:val="center"/>
          </w:tcPr>
          <w:p w14:paraId="6BD14AF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r w14:paraId="71ADE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426" w:type="dxa"/>
            <w:noWrap w:val="0"/>
            <w:vAlign w:val="center"/>
          </w:tcPr>
          <w:p w14:paraId="53A4508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3</w:t>
            </w:r>
          </w:p>
        </w:tc>
        <w:tc>
          <w:tcPr>
            <w:tcW w:w="1464" w:type="dxa"/>
            <w:noWrap w:val="0"/>
            <w:vAlign w:val="center"/>
          </w:tcPr>
          <w:p w14:paraId="50535FC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倒罐站</w:t>
            </w:r>
          </w:p>
        </w:tc>
        <w:tc>
          <w:tcPr>
            <w:tcW w:w="2556" w:type="dxa"/>
            <w:noWrap w:val="0"/>
            <w:vAlign w:val="center"/>
          </w:tcPr>
          <w:p w14:paraId="01306C5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铁水倒罐站</w:t>
            </w:r>
          </w:p>
        </w:tc>
        <w:tc>
          <w:tcPr>
            <w:tcW w:w="1887" w:type="dxa"/>
            <w:noWrap w:val="0"/>
            <w:vAlign w:val="center"/>
          </w:tcPr>
          <w:p w14:paraId="22FC2C5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2227" w:type="dxa"/>
            <w:noWrap w:val="0"/>
            <w:vAlign w:val="center"/>
          </w:tcPr>
          <w:p w14:paraId="5E6861E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r w14:paraId="1F7FF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426" w:type="dxa"/>
            <w:noWrap w:val="0"/>
            <w:vAlign w:val="center"/>
          </w:tcPr>
          <w:p w14:paraId="023E306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4</w:t>
            </w:r>
          </w:p>
        </w:tc>
        <w:tc>
          <w:tcPr>
            <w:tcW w:w="1464" w:type="dxa"/>
            <w:noWrap w:val="0"/>
            <w:vAlign w:val="center"/>
          </w:tcPr>
          <w:p w14:paraId="78DC93C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铁水预处理</w:t>
            </w:r>
          </w:p>
        </w:tc>
        <w:tc>
          <w:tcPr>
            <w:tcW w:w="2556" w:type="dxa"/>
            <w:noWrap w:val="0"/>
            <w:vAlign w:val="center"/>
          </w:tcPr>
          <w:p w14:paraId="223293F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铁水预处理站</w:t>
            </w:r>
          </w:p>
        </w:tc>
        <w:tc>
          <w:tcPr>
            <w:tcW w:w="1887" w:type="dxa"/>
            <w:noWrap w:val="0"/>
            <w:vAlign w:val="center"/>
          </w:tcPr>
          <w:p w14:paraId="0398063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2227" w:type="dxa"/>
            <w:noWrap w:val="0"/>
            <w:vAlign w:val="center"/>
          </w:tcPr>
          <w:p w14:paraId="3004BAD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r w14:paraId="020AE8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426" w:type="dxa"/>
            <w:noWrap w:val="0"/>
            <w:vAlign w:val="center"/>
          </w:tcPr>
          <w:p w14:paraId="38F1F84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5</w:t>
            </w:r>
          </w:p>
        </w:tc>
        <w:tc>
          <w:tcPr>
            <w:tcW w:w="1464" w:type="dxa"/>
            <w:noWrap w:val="0"/>
            <w:vAlign w:val="center"/>
          </w:tcPr>
          <w:p w14:paraId="4CA7887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转炉一次烟气</w:t>
            </w:r>
          </w:p>
        </w:tc>
        <w:tc>
          <w:tcPr>
            <w:tcW w:w="2556" w:type="dxa"/>
            <w:noWrap w:val="0"/>
            <w:vAlign w:val="center"/>
          </w:tcPr>
          <w:p w14:paraId="58688CD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转炉吹炼</w:t>
            </w:r>
          </w:p>
        </w:tc>
        <w:tc>
          <w:tcPr>
            <w:tcW w:w="1887" w:type="dxa"/>
            <w:noWrap w:val="0"/>
            <w:vAlign w:val="center"/>
          </w:tcPr>
          <w:p w14:paraId="74384C7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2227" w:type="dxa"/>
            <w:noWrap w:val="0"/>
            <w:vAlign w:val="center"/>
          </w:tcPr>
          <w:p w14:paraId="559C409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OG湿法煤气净化回收设施、LT干法煤气净化回收设施</w:t>
            </w:r>
          </w:p>
        </w:tc>
      </w:tr>
      <w:tr w14:paraId="0D355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426" w:type="dxa"/>
            <w:noWrap w:val="0"/>
            <w:vAlign w:val="center"/>
          </w:tcPr>
          <w:p w14:paraId="6D7B802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6</w:t>
            </w:r>
          </w:p>
        </w:tc>
        <w:tc>
          <w:tcPr>
            <w:tcW w:w="1464" w:type="dxa"/>
            <w:noWrap w:val="0"/>
            <w:vAlign w:val="center"/>
          </w:tcPr>
          <w:p w14:paraId="59A5CC8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转炉二次烟气</w:t>
            </w:r>
          </w:p>
        </w:tc>
        <w:tc>
          <w:tcPr>
            <w:tcW w:w="2556" w:type="dxa"/>
            <w:noWrap w:val="0"/>
            <w:vAlign w:val="center"/>
          </w:tcPr>
          <w:p w14:paraId="61D6C7C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转炉投钢铁料、兑铁水、出钢及吹炼</w:t>
            </w:r>
          </w:p>
        </w:tc>
        <w:tc>
          <w:tcPr>
            <w:tcW w:w="1887" w:type="dxa"/>
            <w:noWrap w:val="0"/>
            <w:vAlign w:val="center"/>
          </w:tcPr>
          <w:p w14:paraId="5CFD5A8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2227" w:type="dxa"/>
            <w:noWrap w:val="0"/>
            <w:vAlign w:val="center"/>
          </w:tcPr>
          <w:p w14:paraId="7A3AAE6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r w14:paraId="3C1403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426" w:type="dxa"/>
            <w:noWrap w:val="0"/>
            <w:vAlign w:val="center"/>
          </w:tcPr>
          <w:p w14:paraId="032789C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7</w:t>
            </w:r>
          </w:p>
        </w:tc>
        <w:tc>
          <w:tcPr>
            <w:tcW w:w="1464" w:type="dxa"/>
            <w:noWrap w:val="0"/>
            <w:vAlign w:val="center"/>
          </w:tcPr>
          <w:p w14:paraId="22AA460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精炼炉</w:t>
            </w:r>
          </w:p>
        </w:tc>
        <w:tc>
          <w:tcPr>
            <w:tcW w:w="2556" w:type="dxa"/>
            <w:noWrap w:val="0"/>
            <w:vAlign w:val="center"/>
          </w:tcPr>
          <w:p w14:paraId="688B7FB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精炼炉</w:t>
            </w:r>
          </w:p>
        </w:tc>
        <w:tc>
          <w:tcPr>
            <w:tcW w:w="1887" w:type="dxa"/>
            <w:noWrap w:val="0"/>
            <w:vAlign w:val="center"/>
          </w:tcPr>
          <w:p w14:paraId="66186F7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2227" w:type="dxa"/>
            <w:noWrap w:val="0"/>
            <w:vAlign w:val="center"/>
          </w:tcPr>
          <w:p w14:paraId="1EAC0D3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r w14:paraId="42598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426" w:type="dxa"/>
            <w:noWrap w:val="0"/>
            <w:vAlign w:val="center"/>
          </w:tcPr>
          <w:p w14:paraId="5855CED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8</w:t>
            </w:r>
          </w:p>
        </w:tc>
        <w:tc>
          <w:tcPr>
            <w:tcW w:w="1464" w:type="dxa"/>
            <w:noWrap w:val="0"/>
            <w:vAlign w:val="center"/>
          </w:tcPr>
          <w:p w14:paraId="4057432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钢坯火焰切割</w:t>
            </w:r>
          </w:p>
        </w:tc>
        <w:tc>
          <w:tcPr>
            <w:tcW w:w="2556" w:type="dxa"/>
            <w:noWrap w:val="0"/>
            <w:vAlign w:val="center"/>
          </w:tcPr>
          <w:p w14:paraId="14CF290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火焰切割机</w:t>
            </w:r>
          </w:p>
        </w:tc>
        <w:tc>
          <w:tcPr>
            <w:tcW w:w="1887" w:type="dxa"/>
            <w:noWrap w:val="0"/>
            <w:vAlign w:val="center"/>
          </w:tcPr>
          <w:p w14:paraId="38E3854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2227" w:type="dxa"/>
            <w:noWrap w:val="0"/>
            <w:vAlign w:val="center"/>
          </w:tcPr>
          <w:p w14:paraId="47EF583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r w14:paraId="075B6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426" w:type="dxa"/>
            <w:noWrap w:val="0"/>
            <w:vAlign w:val="center"/>
          </w:tcPr>
          <w:p w14:paraId="0D72BB8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9</w:t>
            </w:r>
          </w:p>
        </w:tc>
        <w:tc>
          <w:tcPr>
            <w:tcW w:w="1464" w:type="dxa"/>
            <w:noWrap w:val="0"/>
            <w:vAlign w:val="center"/>
          </w:tcPr>
          <w:p w14:paraId="4E9479E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钢渣处理废气</w:t>
            </w:r>
          </w:p>
        </w:tc>
        <w:tc>
          <w:tcPr>
            <w:tcW w:w="2556" w:type="dxa"/>
            <w:noWrap w:val="0"/>
            <w:vAlign w:val="center"/>
          </w:tcPr>
          <w:p w14:paraId="7B208CD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钢渣处理</w:t>
            </w:r>
          </w:p>
        </w:tc>
        <w:tc>
          <w:tcPr>
            <w:tcW w:w="1887" w:type="dxa"/>
            <w:noWrap w:val="0"/>
            <w:vAlign w:val="center"/>
          </w:tcPr>
          <w:p w14:paraId="1B04D35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2227" w:type="dxa"/>
            <w:noWrap w:val="0"/>
            <w:vAlign w:val="center"/>
          </w:tcPr>
          <w:p w14:paraId="480D5D1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bl>
    <w:p w14:paraId="5FFED8E8">
      <w:pPr>
        <w:keepNext w:val="0"/>
        <w:keepLines w:val="0"/>
        <w:pageBreakBefore w:val="0"/>
        <w:widowControl w:val="0"/>
        <w:kinsoku/>
        <w:wordWrap/>
        <w:overflowPunct/>
        <w:topLinePunct w:val="0"/>
        <w:autoSpaceDE/>
        <w:autoSpaceDN/>
        <w:bidi w:val="0"/>
        <w:adjustRightInd/>
        <w:snapToGrid/>
        <w:spacing w:before="157" w:beforeLines="50" w:line="0" w:lineRule="atLeast"/>
        <w:ind w:firstLine="0" w:firstLineChars="0"/>
        <w:jc w:val="center"/>
        <w:textAlignment w:val="auto"/>
        <w:rPr>
          <w:rFonts w:hint="eastAsia" w:ascii="宋体" w:hAnsi="宋体" w:cs="宋体"/>
          <w:sz w:val="21"/>
          <w:szCs w:val="21"/>
          <w:lang w:val="en-US" w:eastAsia="zh-CN"/>
        </w:rPr>
      </w:pPr>
      <w:r>
        <w:rPr>
          <w:rFonts w:hint="eastAsia"/>
          <w:b/>
          <w:bCs/>
          <w:lang w:val="en-US" w:eastAsia="zh-CN"/>
        </w:rPr>
        <w:t>表4-9</w:t>
      </w:r>
      <w:r>
        <w:rPr>
          <w:rFonts w:hint="eastAsia"/>
          <w:b/>
          <w:bCs/>
        </w:rPr>
        <w:t>电炉炼钢废气污染物排污节点及控制措施</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863"/>
        <w:gridCol w:w="3249"/>
        <w:gridCol w:w="1781"/>
      </w:tblGrid>
      <w:tr w14:paraId="6DCF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5" w:type="dxa"/>
            <w:tcBorders>
              <w:top w:val="single" w:color="auto" w:sz="4" w:space="0"/>
              <w:left w:val="single" w:color="auto" w:sz="4" w:space="0"/>
              <w:bottom w:val="single" w:color="auto" w:sz="4" w:space="0"/>
              <w:right w:val="single" w:color="auto" w:sz="4" w:space="0"/>
            </w:tcBorders>
            <w:noWrap w:val="0"/>
            <w:vAlign w:val="center"/>
          </w:tcPr>
          <w:p w14:paraId="24D43FD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生产工艺</w:t>
            </w:r>
          </w:p>
        </w:tc>
        <w:tc>
          <w:tcPr>
            <w:tcW w:w="1906" w:type="dxa"/>
            <w:tcBorders>
              <w:top w:val="single" w:color="auto" w:sz="4" w:space="0"/>
              <w:left w:val="single" w:color="auto" w:sz="4" w:space="0"/>
              <w:bottom w:val="single" w:color="auto" w:sz="4" w:space="0"/>
              <w:right w:val="single" w:color="auto" w:sz="4" w:space="0"/>
            </w:tcBorders>
            <w:noWrap w:val="0"/>
            <w:vAlign w:val="center"/>
          </w:tcPr>
          <w:p w14:paraId="4B15B50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污染源</w:t>
            </w:r>
          </w:p>
        </w:tc>
        <w:tc>
          <w:tcPr>
            <w:tcW w:w="3328" w:type="dxa"/>
            <w:tcBorders>
              <w:top w:val="single" w:color="auto" w:sz="4" w:space="0"/>
              <w:left w:val="single" w:color="auto" w:sz="4" w:space="0"/>
              <w:bottom w:val="single" w:color="auto" w:sz="4" w:space="0"/>
              <w:right w:val="single" w:color="auto" w:sz="4" w:space="0"/>
            </w:tcBorders>
            <w:noWrap w:val="0"/>
            <w:vAlign w:val="center"/>
          </w:tcPr>
          <w:p w14:paraId="6C621A2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主要污染物</w:t>
            </w:r>
          </w:p>
        </w:tc>
        <w:tc>
          <w:tcPr>
            <w:tcW w:w="1821" w:type="dxa"/>
            <w:tcBorders>
              <w:top w:val="single" w:color="auto" w:sz="4" w:space="0"/>
              <w:left w:val="single" w:color="auto" w:sz="4" w:space="0"/>
              <w:bottom w:val="single" w:color="auto" w:sz="4" w:space="0"/>
              <w:right w:val="single" w:color="auto" w:sz="4" w:space="0"/>
            </w:tcBorders>
            <w:noWrap w:val="0"/>
            <w:vAlign w:val="center"/>
          </w:tcPr>
          <w:p w14:paraId="66BD77C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污染控制措施</w:t>
            </w:r>
          </w:p>
        </w:tc>
      </w:tr>
      <w:tr w14:paraId="0DDE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5" w:type="dxa"/>
            <w:tcBorders>
              <w:top w:val="single" w:color="auto" w:sz="4" w:space="0"/>
              <w:left w:val="single" w:color="auto" w:sz="4" w:space="0"/>
              <w:bottom w:val="single" w:color="auto" w:sz="4" w:space="0"/>
              <w:right w:val="single" w:color="auto" w:sz="4" w:space="0"/>
            </w:tcBorders>
            <w:noWrap w:val="0"/>
            <w:vAlign w:val="center"/>
          </w:tcPr>
          <w:p w14:paraId="51788A6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配料、上料</w:t>
            </w:r>
          </w:p>
        </w:tc>
        <w:tc>
          <w:tcPr>
            <w:tcW w:w="1906" w:type="dxa"/>
            <w:tcBorders>
              <w:top w:val="single" w:color="auto" w:sz="4" w:space="0"/>
              <w:left w:val="single" w:color="auto" w:sz="4" w:space="0"/>
              <w:bottom w:val="single" w:color="auto" w:sz="4" w:space="0"/>
              <w:right w:val="single" w:color="auto" w:sz="4" w:space="0"/>
            </w:tcBorders>
            <w:noWrap w:val="0"/>
            <w:vAlign w:val="center"/>
          </w:tcPr>
          <w:p w14:paraId="48DCB4D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料仓、送料</w:t>
            </w:r>
          </w:p>
        </w:tc>
        <w:tc>
          <w:tcPr>
            <w:tcW w:w="3328" w:type="dxa"/>
            <w:tcBorders>
              <w:top w:val="single" w:color="auto" w:sz="4" w:space="0"/>
              <w:left w:val="single" w:color="auto" w:sz="4" w:space="0"/>
              <w:bottom w:val="single" w:color="auto" w:sz="4" w:space="0"/>
              <w:right w:val="single" w:color="auto" w:sz="4" w:space="0"/>
            </w:tcBorders>
            <w:noWrap w:val="0"/>
            <w:vAlign w:val="center"/>
          </w:tcPr>
          <w:p w14:paraId="0419EB3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1821" w:type="dxa"/>
            <w:tcBorders>
              <w:top w:val="single" w:color="auto" w:sz="4" w:space="0"/>
              <w:left w:val="single" w:color="auto" w:sz="4" w:space="0"/>
              <w:bottom w:val="single" w:color="auto" w:sz="4" w:space="0"/>
              <w:right w:val="single" w:color="auto" w:sz="4" w:space="0"/>
            </w:tcBorders>
            <w:noWrap w:val="0"/>
            <w:vAlign w:val="center"/>
          </w:tcPr>
          <w:p w14:paraId="2EB96C5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r w14:paraId="7901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5" w:type="dxa"/>
            <w:tcBorders>
              <w:top w:val="single" w:color="auto" w:sz="4" w:space="0"/>
              <w:left w:val="single" w:color="auto" w:sz="4" w:space="0"/>
              <w:bottom w:val="single" w:color="auto" w:sz="4" w:space="0"/>
              <w:right w:val="single" w:color="auto" w:sz="4" w:space="0"/>
            </w:tcBorders>
            <w:noWrap w:val="0"/>
            <w:vAlign w:val="center"/>
          </w:tcPr>
          <w:p w14:paraId="0331A7D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炉顶装料</w:t>
            </w:r>
          </w:p>
        </w:tc>
        <w:tc>
          <w:tcPr>
            <w:tcW w:w="1906" w:type="dxa"/>
            <w:tcBorders>
              <w:top w:val="single" w:color="auto" w:sz="4" w:space="0"/>
              <w:left w:val="single" w:color="auto" w:sz="4" w:space="0"/>
              <w:bottom w:val="single" w:color="auto" w:sz="4" w:space="0"/>
              <w:right w:val="single" w:color="auto" w:sz="4" w:space="0"/>
            </w:tcBorders>
            <w:noWrap w:val="0"/>
            <w:vAlign w:val="center"/>
          </w:tcPr>
          <w:p w14:paraId="5B285D8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电炉炉顶装料</w:t>
            </w:r>
          </w:p>
        </w:tc>
        <w:tc>
          <w:tcPr>
            <w:tcW w:w="3328" w:type="dxa"/>
            <w:tcBorders>
              <w:top w:val="single" w:color="auto" w:sz="4" w:space="0"/>
              <w:left w:val="single" w:color="auto" w:sz="4" w:space="0"/>
              <w:bottom w:val="single" w:color="auto" w:sz="4" w:space="0"/>
              <w:right w:val="single" w:color="auto" w:sz="4" w:space="0"/>
            </w:tcBorders>
            <w:noWrap w:val="0"/>
            <w:vAlign w:val="center"/>
          </w:tcPr>
          <w:p w14:paraId="3D2421F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1821" w:type="dxa"/>
            <w:tcBorders>
              <w:top w:val="single" w:color="auto" w:sz="4" w:space="0"/>
              <w:left w:val="single" w:color="auto" w:sz="4" w:space="0"/>
              <w:bottom w:val="single" w:color="auto" w:sz="4" w:space="0"/>
              <w:right w:val="single" w:color="auto" w:sz="4" w:space="0"/>
            </w:tcBorders>
            <w:noWrap w:val="0"/>
            <w:vAlign w:val="center"/>
          </w:tcPr>
          <w:p w14:paraId="78A5E87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r w14:paraId="09C9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5" w:type="dxa"/>
            <w:tcBorders>
              <w:top w:val="single" w:color="auto" w:sz="4" w:space="0"/>
              <w:left w:val="single" w:color="auto" w:sz="4" w:space="0"/>
              <w:bottom w:val="single" w:color="auto" w:sz="4" w:space="0"/>
              <w:right w:val="single" w:color="auto" w:sz="4" w:space="0"/>
            </w:tcBorders>
            <w:noWrap w:val="0"/>
            <w:vAlign w:val="center"/>
          </w:tcPr>
          <w:p w14:paraId="6C1F332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电炉炼钢</w:t>
            </w:r>
          </w:p>
        </w:tc>
        <w:tc>
          <w:tcPr>
            <w:tcW w:w="1906" w:type="dxa"/>
            <w:tcBorders>
              <w:top w:val="single" w:color="auto" w:sz="4" w:space="0"/>
              <w:left w:val="single" w:color="auto" w:sz="4" w:space="0"/>
              <w:bottom w:val="single" w:color="auto" w:sz="4" w:space="0"/>
              <w:right w:val="single" w:color="auto" w:sz="4" w:space="0"/>
            </w:tcBorders>
            <w:noWrap w:val="0"/>
            <w:vAlign w:val="center"/>
          </w:tcPr>
          <w:p w14:paraId="7B21FDC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电炉烟气</w:t>
            </w:r>
          </w:p>
        </w:tc>
        <w:tc>
          <w:tcPr>
            <w:tcW w:w="3328" w:type="dxa"/>
            <w:tcBorders>
              <w:top w:val="single" w:color="auto" w:sz="4" w:space="0"/>
              <w:left w:val="single" w:color="auto" w:sz="4" w:space="0"/>
              <w:bottom w:val="single" w:color="auto" w:sz="4" w:space="0"/>
              <w:right w:val="single" w:color="auto" w:sz="4" w:space="0"/>
            </w:tcBorders>
            <w:noWrap w:val="0"/>
            <w:vAlign w:val="center"/>
          </w:tcPr>
          <w:p w14:paraId="344A4F4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颗粒物、二噁英</w:t>
            </w:r>
          </w:p>
        </w:tc>
        <w:tc>
          <w:tcPr>
            <w:tcW w:w="1821" w:type="dxa"/>
            <w:tcBorders>
              <w:top w:val="single" w:color="auto" w:sz="4" w:space="0"/>
              <w:left w:val="single" w:color="auto" w:sz="4" w:space="0"/>
              <w:bottom w:val="single" w:color="auto" w:sz="4" w:space="0"/>
              <w:right w:val="single" w:color="auto" w:sz="4" w:space="0"/>
            </w:tcBorders>
            <w:noWrap w:val="0"/>
            <w:vAlign w:val="center"/>
          </w:tcPr>
          <w:p w14:paraId="7B235AA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r w14:paraId="2AFD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5" w:type="dxa"/>
            <w:tcBorders>
              <w:top w:val="single" w:color="auto" w:sz="4" w:space="0"/>
              <w:left w:val="single" w:color="auto" w:sz="4" w:space="0"/>
              <w:bottom w:val="single" w:color="auto" w:sz="4" w:space="0"/>
              <w:right w:val="single" w:color="auto" w:sz="4" w:space="0"/>
            </w:tcBorders>
            <w:noWrap w:val="0"/>
            <w:vAlign w:val="center"/>
          </w:tcPr>
          <w:p w14:paraId="7EA6793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出钢、出渣</w:t>
            </w:r>
          </w:p>
        </w:tc>
        <w:tc>
          <w:tcPr>
            <w:tcW w:w="1906" w:type="dxa"/>
            <w:tcBorders>
              <w:top w:val="single" w:color="auto" w:sz="4" w:space="0"/>
              <w:left w:val="single" w:color="auto" w:sz="4" w:space="0"/>
              <w:bottom w:val="single" w:color="auto" w:sz="4" w:space="0"/>
              <w:right w:val="single" w:color="auto" w:sz="4" w:space="0"/>
            </w:tcBorders>
            <w:noWrap w:val="0"/>
            <w:vAlign w:val="center"/>
          </w:tcPr>
          <w:p w14:paraId="4DE1556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出钢、出渣</w:t>
            </w:r>
          </w:p>
        </w:tc>
        <w:tc>
          <w:tcPr>
            <w:tcW w:w="3328" w:type="dxa"/>
            <w:tcBorders>
              <w:top w:val="single" w:color="auto" w:sz="4" w:space="0"/>
              <w:left w:val="single" w:color="auto" w:sz="4" w:space="0"/>
              <w:bottom w:val="single" w:color="auto" w:sz="4" w:space="0"/>
              <w:right w:val="single" w:color="auto" w:sz="4" w:space="0"/>
            </w:tcBorders>
            <w:noWrap w:val="0"/>
            <w:vAlign w:val="center"/>
          </w:tcPr>
          <w:p w14:paraId="040EB17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1821" w:type="dxa"/>
            <w:tcBorders>
              <w:top w:val="single" w:color="auto" w:sz="4" w:space="0"/>
              <w:left w:val="single" w:color="auto" w:sz="4" w:space="0"/>
              <w:bottom w:val="single" w:color="auto" w:sz="4" w:space="0"/>
              <w:right w:val="single" w:color="auto" w:sz="4" w:space="0"/>
            </w:tcBorders>
            <w:noWrap w:val="0"/>
            <w:vAlign w:val="center"/>
          </w:tcPr>
          <w:p w14:paraId="12A2E50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r w14:paraId="310E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5" w:type="dxa"/>
            <w:tcBorders>
              <w:top w:val="single" w:color="auto" w:sz="4" w:space="0"/>
              <w:left w:val="single" w:color="auto" w:sz="4" w:space="0"/>
              <w:bottom w:val="single" w:color="auto" w:sz="4" w:space="0"/>
              <w:right w:val="single" w:color="auto" w:sz="4" w:space="0"/>
            </w:tcBorders>
            <w:noWrap w:val="0"/>
            <w:vAlign w:val="center"/>
          </w:tcPr>
          <w:p w14:paraId="7D346F7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电渣冶金</w:t>
            </w:r>
          </w:p>
        </w:tc>
        <w:tc>
          <w:tcPr>
            <w:tcW w:w="1906" w:type="dxa"/>
            <w:tcBorders>
              <w:top w:val="single" w:color="auto" w:sz="4" w:space="0"/>
              <w:left w:val="single" w:color="auto" w:sz="4" w:space="0"/>
              <w:bottom w:val="single" w:color="auto" w:sz="4" w:space="0"/>
              <w:right w:val="single" w:color="auto" w:sz="4" w:space="0"/>
            </w:tcBorders>
            <w:noWrap w:val="0"/>
            <w:vAlign w:val="center"/>
          </w:tcPr>
          <w:p w14:paraId="7B5EF61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电渣炉</w:t>
            </w:r>
          </w:p>
        </w:tc>
        <w:tc>
          <w:tcPr>
            <w:tcW w:w="3328" w:type="dxa"/>
            <w:tcBorders>
              <w:top w:val="single" w:color="auto" w:sz="4" w:space="0"/>
              <w:left w:val="single" w:color="auto" w:sz="4" w:space="0"/>
              <w:bottom w:val="single" w:color="auto" w:sz="4" w:space="0"/>
              <w:right w:val="single" w:color="auto" w:sz="4" w:space="0"/>
            </w:tcBorders>
            <w:noWrap w:val="0"/>
            <w:vAlign w:val="center"/>
          </w:tcPr>
          <w:p w14:paraId="79F20A2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氟化物</w:t>
            </w:r>
          </w:p>
        </w:tc>
        <w:tc>
          <w:tcPr>
            <w:tcW w:w="1821" w:type="dxa"/>
            <w:tcBorders>
              <w:top w:val="single" w:color="auto" w:sz="4" w:space="0"/>
              <w:left w:val="single" w:color="auto" w:sz="4" w:space="0"/>
              <w:bottom w:val="single" w:color="auto" w:sz="4" w:space="0"/>
              <w:right w:val="single" w:color="auto" w:sz="4" w:space="0"/>
            </w:tcBorders>
            <w:noWrap w:val="0"/>
            <w:vAlign w:val="center"/>
          </w:tcPr>
          <w:p w14:paraId="08F3163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w:t>
            </w:r>
          </w:p>
        </w:tc>
      </w:tr>
    </w:tbl>
    <w:p w14:paraId="3B9549BE">
      <w:pPr>
        <w:keepNext w:val="0"/>
        <w:keepLines w:val="0"/>
        <w:pageBreakBefore w:val="0"/>
        <w:widowControl w:val="0"/>
        <w:kinsoku/>
        <w:wordWrap/>
        <w:overflowPunct/>
        <w:topLinePunct w:val="0"/>
        <w:autoSpaceDE/>
        <w:autoSpaceDN/>
        <w:bidi w:val="0"/>
        <w:adjustRightInd/>
        <w:snapToGrid/>
        <w:spacing w:before="157" w:beforeLines="50" w:line="0" w:lineRule="atLeast"/>
        <w:ind w:firstLine="0" w:firstLineChars="0"/>
        <w:jc w:val="center"/>
        <w:textAlignment w:val="auto"/>
        <w:rPr>
          <w:rFonts w:hint="eastAsia" w:cs="Times New Roman"/>
          <w:b/>
          <w:bCs/>
          <w:lang w:val="en-US" w:eastAsia="zh-CN"/>
        </w:rPr>
      </w:pPr>
      <w:r>
        <w:rPr>
          <w:rFonts w:hint="eastAsia" w:cs="Times New Roman"/>
          <w:b/>
          <w:bCs/>
          <w:lang w:val="en-US" w:eastAsia="zh-CN"/>
        </w:rPr>
        <w:t>表4-10</w:t>
      </w:r>
      <w:r>
        <w:rPr>
          <w:rFonts w:hint="eastAsia" w:cs="Times New Roman"/>
          <w:b/>
          <w:bCs/>
        </w:rPr>
        <w:t>石灰石焙烧工序污染物产生与控制措施</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2007"/>
        <w:gridCol w:w="3172"/>
        <w:gridCol w:w="1767"/>
      </w:tblGrid>
      <w:tr w14:paraId="4F7F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1" w:type="dxa"/>
            <w:tcBorders>
              <w:top w:val="single" w:color="auto" w:sz="4" w:space="0"/>
              <w:left w:val="single" w:color="auto" w:sz="4" w:space="0"/>
              <w:bottom w:val="single" w:color="auto" w:sz="4" w:space="0"/>
              <w:right w:val="single" w:color="auto" w:sz="4" w:space="0"/>
            </w:tcBorders>
            <w:noWrap w:val="0"/>
            <w:vAlign w:val="center"/>
          </w:tcPr>
          <w:p w14:paraId="2E0AD3B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生产工艺</w:t>
            </w:r>
          </w:p>
        </w:tc>
        <w:tc>
          <w:tcPr>
            <w:tcW w:w="2053" w:type="dxa"/>
            <w:tcBorders>
              <w:top w:val="single" w:color="auto" w:sz="4" w:space="0"/>
              <w:left w:val="single" w:color="auto" w:sz="4" w:space="0"/>
              <w:bottom w:val="single" w:color="auto" w:sz="4" w:space="0"/>
              <w:right w:val="single" w:color="auto" w:sz="4" w:space="0"/>
            </w:tcBorders>
            <w:noWrap w:val="0"/>
            <w:vAlign w:val="center"/>
          </w:tcPr>
          <w:p w14:paraId="2D053DE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污染源</w:t>
            </w:r>
          </w:p>
        </w:tc>
        <w:tc>
          <w:tcPr>
            <w:tcW w:w="3249" w:type="dxa"/>
            <w:tcBorders>
              <w:top w:val="single" w:color="auto" w:sz="4" w:space="0"/>
              <w:left w:val="single" w:color="auto" w:sz="4" w:space="0"/>
              <w:bottom w:val="single" w:color="auto" w:sz="4" w:space="0"/>
              <w:right w:val="single" w:color="auto" w:sz="4" w:space="0"/>
            </w:tcBorders>
            <w:noWrap w:val="0"/>
            <w:vAlign w:val="center"/>
          </w:tcPr>
          <w:p w14:paraId="7E2F2EC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主要污染物</w:t>
            </w:r>
          </w:p>
        </w:tc>
        <w:tc>
          <w:tcPr>
            <w:tcW w:w="1807" w:type="dxa"/>
            <w:tcBorders>
              <w:top w:val="single" w:color="auto" w:sz="4" w:space="0"/>
              <w:left w:val="single" w:color="auto" w:sz="4" w:space="0"/>
              <w:bottom w:val="single" w:color="auto" w:sz="4" w:space="0"/>
              <w:right w:val="single" w:color="auto" w:sz="4" w:space="0"/>
            </w:tcBorders>
            <w:noWrap w:val="0"/>
            <w:vAlign w:val="center"/>
          </w:tcPr>
          <w:p w14:paraId="28AD28F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污染控制措施</w:t>
            </w:r>
          </w:p>
        </w:tc>
      </w:tr>
      <w:tr w14:paraId="3ED3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1" w:type="dxa"/>
            <w:tcBorders>
              <w:top w:val="single" w:color="auto" w:sz="4" w:space="0"/>
              <w:left w:val="single" w:color="auto" w:sz="4" w:space="0"/>
              <w:bottom w:val="single" w:color="auto" w:sz="4" w:space="0"/>
              <w:right w:val="single" w:color="auto" w:sz="4" w:space="0"/>
            </w:tcBorders>
            <w:noWrap w:val="0"/>
            <w:vAlign w:val="center"/>
          </w:tcPr>
          <w:p w14:paraId="6A6D7E7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给料、送料</w:t>
            </w:r>
          </w:p>
        </w:tc>
        <w:tc>
          <w:tcPr>
            <w:tcW w:w="2053" w:type="dxa"/>
            <w:tcBorders>
              <w:top w:val="single" w:color="auto" w:sz="4" w:space="0"/>
              <w:left w:val="single" w:color="auto" w:sz="4" w:space="0"/>
              <w:bottom w:val="single" w:color="auto" w:sz="4" w:space="0"/>
              <w:right w:val="single" w:color="auto" w:sz="4" w:space="0"/>
            </w:tcBorders>
            <w:noWrap w:val="0"/>
            <w:vAlign w:val="center"/>
          </w:tcPr>
          <w:p w14:paraId="6AB4AD8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给料机、送料机</w:t>
            </w:r>
          </w:p>
        </w:tc>
        <w:tc>
          <w:tcPr>
            <w:tcW w:w="3249" w:type="dxa"/>
            <w:tcBorders>
              <w:top w:val="single" w:color="auto" w:sz="4" w:space="0"/>
              <w:left w:val="single" w:color="auto" w:sz="4" w:space="0"/>
              <w:bottom w:val="single" w:color="auto" w:sz="4" w:space="0"/>
              <w:right w:val="single" w:color="auto" w:sz="4" w:space="0"/>
            </w:tcBorders>
            <w:noWrap w:val="0"/>
            <w:vAlign w:val="center"/>
          </w:tcPr>
          <w:p w14:paraId="4D38B1E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1807" w:type="dxa"/>
            <w:tcBorders>
              <w:top w:val="single" w:color="auto" w:sz="4" w:space="0"/>
              <w:left w:val="single" w:color="auto" w:sz="4" w:space="0"/>
              <w:bottom w:val="single" w:color="auto" w:sz="4" w:space="0"/>
              <w:right w:val="single" w:color="auto" w:sz="4" w:space="0"/>
            </w:tcBorders>
            <w:noWrap w:val="0"/>
            <w:vAlign w:val="center"/>
          </w:tcPr>
          <w:p w14:paraId="587493B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布袋除尘器</w:t>
            </w:r>
          </w:p>
        </w:tc>
      </w:tr>
      <w:tr w14:paraId="0DAF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1" w:type="dxa"/>
            <w:tcBorders>
              <w:top w:val="single" w:color="auto" w:sz="4" w:space="0"/>
              <w:left w:val="single" w:color="auto" w:sz="4" w:space="0"/>
              <w:bottom w:val="single" w:color="auto" w:sz="4" w:space="0"/>
              <w:right w:val="single" w:color="auto" w:sz="4" w:space="0"/>
            </w:tcBorders>
            <w:noWrap w:val="0"/>
            <w:vAlign w:val="center"/>
          </w:tcPr>
          <w:p w14:paraId="3EDF90D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焙烧</w:t>
            </w:r>
          </w:p>
        </w:tc>
        <w:tc>
          <w:tcPr>
            <w:tcW w:w="2053" w:type="dxa"/>
            <w:tcBorders>
              <w:top w:val="single" w:color="auto" w:sz="4" w:space="0"/>
              <w:left w:val="single" w:color="auto" w:sz="4" w:space="0"/>
              <w:bottom w:val="single" w:color="auto" w:sz="4" w:space="0"/>
              <w:right w:val="single" w:color="auto" w:sz="4" w:space="0"/>
            </w:tcBorders>
            <w:noWrap w:val="0"/>
            <w:vAlign w:val="center"/>
          </w:tcPr>
          <w:p w14:paraId="727FCB6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焙烧窑、预热器</w:t>
            </w:r>
          </w:p>
        </w:tc>
        <w:tc>
          <w:tcPr>
            <w:tcW w:w="3249" w:type="dxa"/>
            <w:tcBorders>
              <w:top w:val="single" w:color="auto" w:sz="4" w:space="0"/>
              <w:left w:val="single" w:color="auto" w:sz="4" w:space="0"/>
              <w:bottom w:val="single" w:color="auto" w:sz="4" w:space="0"/>
              <w:right w:val="single" w:color="auto" w:sz="4" w:space="0"/>
            </w:tcBorders>
            <w:noWrap w:val="0"/>
            <w:vAlign w:val="center"/>
          </w:tcPr>
          <w:p w14:paraId="36D49EE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颗粒物、二氧化硫、氮氧化物</w:t>
            </w:r>
          </w:p>
        </w:tc>
        <w:tc>
          <w:tcPr>
            <w:tcW w:w="1807" w:type="dxa"/>
            <w:tcBorders>
              <w:top w:val="single" w:color="auto" w:sz="4" w:space="0"/>
              <w:left w:val="single" w:color="auto" w:sz="4" w:space="0"/>
              <w:bottom w:val="single" w:color="auto" w:sz="4" w:space="0"/>
              <w:right w:val="single" w:color="auto" w:sz="4" w:space="0"/>
            </w:tcBorders>
            <w:noWrap w:val="0"/>
            <w:vAlign w:val="center"/>
          </w:tcPr>
          <w:p w14:paraId="15EEB55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布袋除尘器</w:t>
            </w:r>
          </w:p>
        </w:tc>
      </w:tr>
    </w:tbl>
    <w:p w14:paraId="540E313F">
      <w:pPr>
        <w:pStyle w:val="4"/>
        <w:bidi w:val="0"/>
        <w:rPr>
          <w:rFonts w:hint="eastAsia"/>
          <w:lang w:val="en-US" w:eastAsia="zh-CN"/>
        </w:rPr>
      </w:pPr>
      <w:r>
        <w:rPr>
          <w:rFonts w:hint="eastAsia"/>
          <w:lang w:val="en-US" w:eastAsia="zh-CN"/>
        </w:rPr>
        <w:t>4.1.5轧钢</w:t>
      </w:r>
    </w:p>
    <w:p w14:paraId="055821FC">
      <w:pPr>
        <w:numPr>
          <w:ilvl w:val="0"/>
          <w:numId w:val="7"/>
        </w:numPr>
        <w:rPr>
          <w:rFonts w:hint="eastAsia"/>
          <w:b/>
          <w:bCs/>
          <w:lang w:val="en-US" w:eastAsia="zh-CN"/>
        </w:rPr>
      </w:pPr>
      <w:r>
        <w:rPr>
          <w:rFonts w:hint="eastAsia"/>
          <w:b/>
          <w:bCs/>
          <w:lang w:val="en-US" w:eastAsia="zh-CN"/>
        </w:rPr>
        <w:t>轧钢工艺</w:t>
      </w:r>
    </w:p>
    <w:p w14:paraId="624B65A3">
      <w:pPr>
        <w:spacing w:line="520" w:lineRule="exact"/>
        <w:ind w:firstLine="480" w:firstLineChars="200"/>
        <w:rPr>
          <w:rFonts w:hint="eastAsia" w:ascii="宋体" w:hAnsi="宋体" w:eastAsia="宋体" w:cs="宋体"/>
          <w:color w:val="000000"/>
          <w:sz w:val="24"/>
        </w:rPr>
      </w:pPr>
      <w:r>
        <w:rPr>
          <w:rFonts w:hint="eastAsia" w:ascii="宋体" w:hAnsi="宋体" w:eastAsia="宋体" w:cs="宋体"/>
          <w:b w:val="0"/>
          <w:bCs w:val="0"/>
          <w:i w:val="0"/>
          <w:iCs w:val="0"/>
          <w:color w:val="000000"/>
          <w:sz w:val="24"/>
          <w:szCs w:val="24"/>
        </w:rPr>
        <w:t>轧钢工艺是指以钢坯为原料，经备料、加热、轧制及精整处理，最终加工成成品钢材的生产过程。</w:t>
      </w:r>
      <w:r>
        <w:rPr>
          <w:rFonts w:hint="eastAsia" w:ascii="宋体" w:hAnsi="宋体" w:eastAsia="宋体" w:cs="宋体"/>
          <w:sz w:val="24"/>
          <w:szCs w:val="24"/>
        </w:rPr>
        <w:t>按轧制</w:t>
      </w:r>
      <w:r>
        <w:rPr>
          <w:rFonts w:hint="eastAsia" w:ascii="宋体" w:hAnsi="宋体" w:eastAsia="宋体" w:cs="宋体"/>
        </w:rPr>
        <w:t>温度的不同，主要分为热轧工艺和冷轧工艺。热轧一般是将钢坯在加热炉或均热炉中加热到1150-1250℃,然后在轧机中进行轧制。以1580mm热轧为例,原料全部为连铸坯，由毗邻的连铸车间运来，通过辊道和过跨小车送入热轧厂板坯库，分别采用冷装、保温坑热装、直接装炉和直接轧制四种方式，板坯在前三种方式经加热炉加热后出炉，经定宽大侧压机侧压为所需宽度，经粗轧机轧制成厚为35～60mm的中间带坯。带坯经设有保温罩的中间辊道送到切头飞剪输入辊道，如需边部加热则经过电感应加热器，然后进行最佳剪切。经过7架精轧机后轧制成厚度为1.5～12.7mm的带钢。带钢经层流装置冷却到成品带钢规定的卷</w:t>
      </w:r>
      <w:r>
        <w:rPr>
          <w:rFonts w:hint="eastAsia" w:ascii="宋体" w:hAnsi="宋体" w:eastAsia="宋体" w:cs="宋体"/>
          <w:color w:val="000000"/>
          <w:sz w:val="24"/>
        </w:rPr>
        <w:t>取温度，由液压式地下卷取机卷取成钢卷。钢卷经卧式打捆后用钢卷小车送到钢卷升降机，再运至钢卷运输系统，分别送至冷轧厂或热轧钢卷库。</w:t>
      </w:r>
    </w:p>
    <w:p w14:paraId="3071A7B5">
      <w:pPr>
        <w:spacing w:line="520" w:lineRule="exact"/>
        <w:ind w:firstLine="480" w:firstLineChars="200"/>
        <w:rPr>
          <w:rFonts w:ascii="宋体" w:hAnsi="宋体"/>
          <w:color w:val="000000"/>
          <w:sz w:val="24"/>
        </w:rPr>
      </w:pPr>
      <w:r>
        <w:rPr>
          <w:rFonts w:hint="eastAsia" w:ascii="宋体" w:hAnsi="宋体"/>
          <w:color w:val="000000"/>
          <w:sz w:val="24"/>
        </w:rPr>
        <w:t>冷轧是将钢坯热轧到一定尺寸后，在冷态即常温下进行轧制。热轧板经酸洗、冷连轧后热镀锌或经退火后电镀锌。需要分切的钢卷先卸到分卷跨进行冷却，对分切后的成品经称重、打捆、喷印后吊运至成品库，成品钢卷均用汽车运出厂外。</w:t>
      </w:r>
    </w:p>
    <w:p w14:paraId="0078040B">
      <w:pPr>
        <w:spacing w:line="520" w:lineRule="exact"/>
        <w:ind w:firstLine="480" w:firstLineChars="200"/>
        <w:rPr>
          <w:rFonts w:ascii="宋体" w:hAnsi="宋体"/>
          <w:color w:val="000000"/>
          <w:sz w:val="24"/>
        </w:rPr>
      </w:pPr>
      <w:r>
        <w:rPr>
          <w:rFonts w:hint="eastAsia" w:ascii="宋体" w:hAnsi="宋体"/>
          <w:color w:val="000000"/>
          <w:sz w:val="24"/>
        </w:rPr>
        <w:t>热轧厂主要由加热区、轧钢区、冷却区和钢坯库等区段组成，有的还有热处理、酸洗和镀面（镀锌、锡、铅）等区组成。冷轧厂主要由酸洗区、轧钢区、热处理区、精整区等区组成。</w:t>
      </w:r>
    </w:p>
    <w:p w14:paraId="72989C8A">
      <w:pPr>
        <w:bidi w:val="0"/>
        <w:rPr>
          <w:rFonts w:hint="eastAsia"/>
          <w:lang w:val="en-US" w:eastAsia="zh-CN"/>
        </w:rPr>
      </w:pPr>
      <w:r>
        <w:rPr>
          <w:rFonts w:hint="eastAsia" w:ascii="宋体" w:hAnsi="宋体"/>
          <w:color w:val="000000"/>
          <w:sz w:val="24"/>
        </w:rPr>
        <w:t>硅钢也属冷轧的一种，它主要由酸洗区、轧钢区、热处理区、精整区等区组成。不锈钢的生产工艺包括了从热轧到冷轧的工艺过程。</w:t>
      </w:r>
    </w:p>
    <w:p w14:paraId="5E3813CC">
      <w:pPr>
        <w:numPr>
          <w:ilvl w:val="0"/>
          <w:numId w:val="7"/>
        </w:numPr>
        <w:rPr>
          <w:rFonts w:hint="default" w:cs="Times New Roman"/>
          <w:b/>
          <w:bCs/>
          <w:lang w:val="en-US" w:eastAsia="zh-CN"/>
        </w:rPr>
      </w:pPr>
      <w:r>
        <w:rPr>
          <w:rFonts w:hint="eastAsia" w:cs="Times New Roman"/>
          <w:b/>
          <w:bCs/>
          <w:lang w:val="en-US" w:eastAsia="zh-CN"/>
        </w:rPr>
        <w:t>污染物排放特征</w:t>
      </w:r>
    </w:p>
    <w:p w14:paraId="0BE6F54F">
      <w:pPr>
        <w:bidi w:val="0"/>
      </w:pPr>
      <w:r>
        <w:t>轧钢工序产生的污染物主要包括烟尘、SO</w:t>
      </w:r>
      <w:r>
        <w:rPr>
          <w:vertAlign w:val="subscript"/>
        </w:rPr>
        <w:t>2</w:t>
      </w:r>
      <w:r>
        <w:t>、NOx、油雾等。目前，在有炼铁、焦化、炼钢等工序的长流程钢铁联合企业中，轧钢加热炉所使用的燃料都是回收的焦炉煤气、高炉煤气、转炉煤气、混合煤气等，煤气在回收中已经过处理。因此轧钢工序加热炉排放的烟粉尘、SO</w:t>
      </w:r>
      <w:r>
        <w:rPr>
          <w:vertAlign w:val="subscript"/>
        </w:rPr>
        <w:t>2</w:t>
      </w:r>
      <w:r>
        <w:t>、NOx浓度均较低，其中NO</w:t>
      </w:r>
      <w:r>
        <w:rPr>
          <w:rFonts w:hint="eastAsia"/>
          <w:lang w:val="en-US" w:eastAsia="zh-CN"/>
        </w:rPr>
        <w:t>x一</w:t>
      </w:r>
      <w:r>
        <w:t>般在200mg/m</w:t>
      </w:r>
      <w:r>
        <w:rPr>
          <w:vertAlign w:val="superscript"/>
        </w:rPr>
        <w:t>3</w:t>
      </w:r>
      <w:r>
        <w:t>以下，若采用蓄热燃烧技术及低氮燃烧技术则可以进一步降低NO</w:t>
      </w:r>
      <w:r>
        <w:rPr>
          <w:rFonts w:hint="eastAsia"/>
          <w:lang w:val="en-US" w:eastAsia="zh-CN"/>
        </w:rPr>
        <w:t>x</w:t>
      </w:r>
      <w:r>
        <w:t>排放浓度。目前所有的轧钢加热炉烟气都是通过高烟囱排放。</w:t>
      </w:r>
    </w:p>
    <w:p w14:paraId="5FBB65CB">
      <w:pPr>
        <w:bidi w:val="0"/>
        <w:rPr>
          <w:rFonts w:hint="eastAsia"/>
          <w:lang w:val="en-US" w:eastAsia="zh-CN"/>
        </w:rPr>
      </w:pPr>
      <w:r>
        <w:t>轧钢工序主要的生产原料是已经成型的钢坯或钢材，没有散状原料，因此产尘点相对较少，产尘量也较小。主要产尘点集中在加热炉、热处理炉等排放的含尘烟气，以及轧机在轧制过程中由于轧辊与钢坯挤压、摩擦过程中，钢坯表面的氧化铁粉末随着高温水蒸气向外部扩散的含尘烟气。轧钢主要产尘工序粉尘排放特性</w:t>
      </w:r>
      <w:r>
        <w:rPr>
          <w:rFonts w:hint="eastAsia"/>
          <w:lang w:val="en-US" w:eastAsia="zh-CN"/>
        </w:rPr>
        <w:t>见表4-11。</w:t>
      </w:r>
    </w:p>
    <w:p w14:paraId="205592E7">
      <w:pPr>
        <w:bidi w:val="0"/>
        <w:ind w:left="0" w:leftChars="0" w:firstLine="0" w:firstLineChars="0"/>
        <w:jc w:val="center"/>
        <w:rPr>
          <w:b/>
          <w:bCs/>
        </w:rPr>
      </w:pPr>
      <w:r>
        <w:rPr>
          <w:rFonts w:hint="eastAsia"/>
          <w:b/>
          <w:bCs/>
        </w:rPr>
        <w:t>表</w:t>
      </w:r>
      <w:r>
        <w:rPr>
          <w:rFonts w:hint="eastAsia"/>
          <w:b/>
          <w:bCs/>
          <w:lang w:val="en-US" w:eastAsia="zh-CN"/>
        </w:rPr>
        <w:t>4-11轧钢</w:t>
      </w:r>
      <w:r>
        <w:rPr>
          <w:rFonts w:hint="eastAsia"/>
          <w:b/>
          <w:bCs/>
        </w:rPr>
        <w:t>工序粉尘特性</w:t>
      </w:r>
    </w:p>
    <w:tbl>
      <w:tblPr>
        <w:tblStyle w:val="17"/>
        <w:tblW w:w="5000" w:type="pct"/>
        <w:jc w:val="center"/>
        <w:tblLayout w:type="fixed"/>
        <w:tblCellMar>
          <w:top w:w="0" w:type="dxa"/>
          <w:left w:w="0" w:type="dxa"/>
          <w:bottom w:w="0" w:type="dxa"/>
          <w:right w:w="0" w:type="dxa"/>
        </w:tblCellMar>
      </w:tblPr>
      <w:tblGrid>
        <w:gridCol w:w="620"/>
        <w:gridCol w:w="816"/>
        <w:gridCol w:w="924"/>
        <w:gridCol w:w="909"/>
        <w:gridCol w:w="828"/>
        <w:gridCol w:w="718"/>
        <w:gridCol w:w="666"/>
        <w:gridCol w:w="665"/>
        <w:gridCol w:w="663"/>
        <w:gridCol w:w="670"/>
        <w:gridCol w:w="833"/>
      </w:tblGrid>
      <w:tr w14:paraId="7461A1F8">
        <w:tblPrEx>
          <w:tblCellMar>
            <w:top w:w="0" w:type="dxa"/>
            <w:left w:w="0" w:type="dxa"/>
            <w:bottom w:w="0" w:type="dxa"/>
            <w:right w:w="0" w:type="dxa"/>
          </w:tblCellMar>
        </w:tblPrEx>
        <w:trPr>
          <w:trHeight w:val="425" w:hRule="atLeast"/>
          <w:jc w:val="center"/>
        </w:trPr>
        <w:tc>
          <w:tcPr>
            <w:tcW w:w="652" w:type="dxa"/>
            <w:vMerge w:val="restart"/>
            <w:tcBorders>
              <w:top w:val="single" w:color="000000" w:sz="2" w:space="0"/>
              <w:left w:val="single" w:color="000000" w:sz="2" w:space="0"/>
              <w:bottom w:val="single" w:color="000000" w:sz="2" w:space="0"/>
              <w:right w:val="single" w:color="000000" w:sz="2" w:space="0"/>
            </w:tcBorders>
            <w:vAlign w:val="center"/>
          </w:tcPr>
          <w:p w14:paraId="18BAFA6E">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p>
          <w:p w14:paraId="094855E4">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sz w:val="21"/>
                <w:szCs w:val="21"/>
              </w:rPr>
            </w:pPr>
            <w:r>
              <w:rPr>
                <w:rFonts w:ascii="宋体" w:hAnsi="宋体" w:eastAsia="宋体" w:cs="宋体"/>
                <w:b/>
                <w:color w:val="000000"/>
                <w:spacing w:val="-6"/>
                <w:sz w:val="21"/>
                <w:szCs w:val="21"/>
              </w:rPr>
              <w:t>生产</w:t>
            </w:r>
          </w:p>
          <w:p w14:paraId="7F0F7918">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sz w:val="21"/>
                <w:szCs w:val="21"/>
              </w:rPr>
            </w:pPr>
            <w:r>
              <w:rPr>
                <w:rFonts w:ascii="宋体" w:hAnsi="宋体" w:eastAsia="宋体" w:cs="宋体"/>
                <w:b/>
                <w:color w:val="000000"/>
                <w:spacing w:val="-6"/>
                <w:sz w:val="21"/>
                <w:szCs w:val="21"/>
              </w:rPr>
              <w:t>流程</w:t>
            </w:r>
          </w:p>
        </w:tc>
        <w:tc>
          <w:tcPr>
            <w:tcW w:w="859" w:type="dxa"/>
            <w:vMerge w:val="restart"/>
            <w:tcBorders>
              <w:top w:val="single" w:color="000000" w:sz="2" w:space="0"/>
              <w:left w:val="single" w:color="000000" w:sz="2" w:space="0"/>
              <w:bottom w:val="single" w:color="000000" w:sz="2" w:space="0"/>
              <w:right w:val="single" w:color="000000" w:sz="2" w:space="0"/>
            </w:tcBorders>
            <w:vAlign w:val="center"/>
          </w:tcPr>
          <w:p w14:paraId="03A6E5D7">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p>
          <w:p w14:paraId="1358D1BB">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sz w:val="21"/>
                <w:szCs w:val="21"/>
              </w:rPr>
            </w:pPr>
            <w:r>
              <w:rPr>
                <w:rFonts w:ascii="宋体" w:hAnsi="宋体" w:eastAsia="宋体" w:cs="宋体"/>
                <w:b/>
                <w:color w:val="000000"/>
                <w:spacing w:val="-4"/>
                <w:sz w:val="21"/>
                <w:szCs w:val="21"/>
              </w:rPr>
              <w:t>产尘点</w:t>
            </w:r>
          </w:p>
        </w:tc>
        <w:tc>
          <w:tcPr>
            <w:tcW w:w="972" w:type="dxa"/>
            <w:vMerge w:val="restart"/>
            <w:tcBorders>
              <w:top w:val="single" w:color="000000" w:sz="2" w:space="0"/>
              <w:left w:val="single" w:color="000000" w:sz="2" w:space="0"/>
              <w:bottom w:val="single" w:color="000000" w:sz="2" w:space="0"/>
              <w:right w:val="single" w:color="000000" w:sz="2" w:space="0"/>
            </w:tcBorders>
            <w:vAlign w:val="center"/>
          </w:tcPr>
          <w:p w14:paraId="1B5A90A0">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p>
          <w:p w14:paraId="76574597">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sz w:val="21"/>
                <w:szCs w:val="21"/>
              </w:rPr>
            </w:pPr>
            <w:r>
              <w:rPr>
                <w:rFonts w:ascii="宋体" w:hAnsi="宋体" w:eastAsia="宋体" w:cs="宋体"/>
                <w:b/>
                <w:color w:val="000000"/>
                <w:spacing w:val="-4"/>
                <w:sz w:val="21"/>
                <w:szCs w:val="21"/>
              </w:rPr>
              <w:t>真密度</w:t>
            </w:r>
          </w:p>
          <w:p w14:paraId="692EB2C3">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sz w:val="21"/>
                <w:szCs w:val="21"/>
              </w:rPr>
            </w:pPr>
            <w:r>
              <w:rPr>
                <w:rFonts w:ascii="宋体" w:hAnsi="宋体" w:eastAsia="宋体" w:cs="宋体"/>
                <w:b/>
                <w:color w:val="000000"/>
                <w:spacing w:val="-4"/>
                <w:sz w:val="21"/>
                <w:szCs w:val="21"/>
              </w:rPr>
              <w:t>（</w:t>
            </w:r>
            <w:r>
              <w:rPr>
                <w:rFonts w:ascii="Times New Roman" w:hAnsi="Times New Roman" w:eastAsia="Times New Roman" w:cs="Times New Roman"/>
                <w:b/>
                <w:color w:val="000000"/>
                <w:spacing w:val="-2"/>
                <w:sz w:val="21"/>
                <w:szCs w:val="21"/>
              </w:rPr>
              <w:t>g/cm</w:t>
            </w:r>
            <w:r>
              <w:rPr>
                <w:rFonts w:ascii="Times New Roman" w:hAnsi="Times New Roman" w:eastAsia="Times New Roman" w:cs="Times New Roman"/>
                <w:b/>
                <w:color w:val="000000"/>
                <w:sz w:val="21"/>
                <w:szCs w:val="21"/>
                <w:vertAlign w:val="superscript"/>
              </w:rPr>
              <w:t>3</w:t>
            </w:r>
            <w:r>
              <w:rPr>
                <w:rFonts w:ascii="宋体" w:hAnsi="宋体" w:eastAsia="宋体" w:cs="宋体"/>
                <w:b/>
                <w:color w:val="000000"/>
                <w:spacing w:val="-4"/>
                <w:sz w:val="21"/>
                <w:szCs w:val="21"/>
              </w:rPr>
              <w:t>）</w:t>
            </w:r>
          </w:p>
        </w:tc>
        <w:tc>
          <w:tcPr>
            <w:tcW w:w="2584" w:type="dxa"/>
            <w:gridSpan w:val="3"/>
            <w:tcBorders>
              <w:top w:val="single" w:color="000000" w:sz="2" w:space="0"/>
              <w:left w:val="single" w:color="000000" w:sz="2" w:space="0"/>
              <w:bottom w:val="single" w:color="000000" w:sz="2" w:space="0"/>
              <w:right w:val="single" w:color="000000" w:sz="2" w:space="0"/>
            </w:tcBorders>
            <w:vAlign w:val="center"/>
          </w:tcPr>
          <w:p w14:paraId="2731B74F">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sz w:val="21"/>
                <w:szCs w:val="21"/>
              </w:rPr>
            </w:pPr>
            <w:r>
              <w:rPr>
                <w:rFonts w:ascii="宋体" w:hAnsi="宋体" w:eastAsia="宋体" w:cs="宋体"/>
                <w:b/>
                <w:color w:val="000000"/>
                <w:spacing w:val="-2"/>
                <w:sz w:val="21"/>
                <w:szCs w:val="21"/>
              </w:rPr>
              <w:t>质量粒径分布（</w:t>
            </w:r>
            <w:r>
              <w:rPr>
                <w:rFonts w:ascii="Times New Roman" w:hAnsi="Times New Roman" w:eastAsia="Times New Roman" w:cs="Times New Roman"/>
                <w:b/>
                <w:color w:val="000000"/>
                <w:spacing w:val="-1"/>
                <w:sz w:val="21"/>
                <w:szCs w:val="21"/>
              </w:rPr>
              <w:t>%</w:t>
            </w:r>
            <w:r>
              <w:rPr>
                <w:rFonts w:ascii="宋体" w:hAnsi="宋体" w:eastAsia="宋体" w:cs="宋体"/>
                <w:b/>
                <w:color w:val="000000"/>
                <w:spacing w:val="-1"/>
                <w:sz w:val="21"/>
                <w:szCs w:val="21"/>
              </w:rPr>
              <w:t>）</w:t>
            </w:r>
          </w:p>
        </w:tc>
        <w:tc>
          <w:tcPr>
            <w:tcW w:w="2804" w:type="dxa"/>
            <w:gridSpan w:val="4"/>
            <w:tcBorders>
              <w:top w:val="single" w:color="000000" w:sz="2" w:space="0"/>
              <w:left w:val="single" w:color="000000" w:sz="2" w:space="0"/>
              <w:bottom w:val="single" w:color="000000" w:sz="2" w:space="0"/>
              <w:right w:val="single" w:color="000000" w:sz="2" w:space="0"/>
            </w:tcBorders>
            <w:vAlign w:val="center"/>
          </w:tcPr>
          <w:p w14:paraId="1D56E9E3">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sz w:val="21"/>
                <w:szCs w:val="21"/>
              </w:rPr>
            </w:pPr>
            <w:r>
              <w:rPr>
                <w:rFonts w:ascii="宋体" w:hAnsi="宋体" w:eastAsia="宋体" w:cs="宋体"/>
                <w:b/>
                <w:color w:val="000000"/>
                <w:spacing w:val="-2"/>
                <w:sz w:val="21"/>
                <w:szCs w:val="21"/>
              </w:rPr>
              <w:t>化学成分（</w:t>
            </w:r>
            <w:r>
              <w:rPr>
                <w:rFonts w:ascii="Times New Roman" w:hAnsi="Times New Roman" w:eastAsia="Times New Roman" w:cs="Times New Roman"/>
                <w:b/>
                <w:color w:val="000000"/>
                <w:spacing w:val="-2"/>
                <w:sz w:val="21"/>
                <w:szCs w:val="21"/>
              </w:rPr>
              <w:t>%</w:t>
            </w:r>
            <w:r>
              <w:rPr>
                <w:rFonts w:ascii="宋体" w:hAnsi="宋体" w:eastAsia="宋体" w:cs="宋体"/>
                <w:b/>
                <w:color w:val="000000"/>
                <w:spacing w:val="-2"/>
                <w:sz w:val="21"/>
                <w:szCs w:val="21"/>
              </w:rPr>
              <w:t>）</w:t>
            </w:r>
          </w:p>
        </w:tc>
        <w:tc>
          <w:tcPr>
            <w:tcW w:w="876" w:type="dxa"/>
            <w:vMerge w:val="restart"/>
            <w:tcBorders>
              <w:top w:val="single" w:color="000000" w:sz="2" w:space="0"/>
              <w:left w:val="single" w:color="000000" w:sz="2" w:space="0"/>
              <w:bottom w:val="single" w:color="000000" w:sz="2" w:space="0"/>
              <w:right w:val="single" w:color="000000" w:sz="2" w:space="0"/>
            </w:tcBorders>
            <w:vAlign w:val="center"/>
          </w:tcPr>
          <w:p w14:paraId="34BBDB5E">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sz w:val="21"/>
                <w:szCs w:val="21"/>
              </w:rPr>
            </w:pPr>
            <w:r>
              <w:rPr>
                <w:rFonts w:ascii="宋体" w:hAnsi="宋体" w:eastAsia="宋体" w:cs="宋体"/>
                <w:b/>
                <w:color w:val="000000"/>
                <w:spacing w:val="-6"/>
                <w:sz w:val="21"/>
                <w:szCs w:val="21"/>
              </w:rPr>
              <w:t>游离</w:t>
            </w:r>
          </w:p>
          <w:p w14:paraId="397DD6F1">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b/>
                <w:color w:val="000000"/>
                <w:spacing w:val="-10"/>
                <w:sz w:val="21"/>
                <w:szCs w:val="21"/>
              </w:rPr>
              <w:t>SiO</w:t>
            </w:r>
            <w:r>
              <w:rPr>
                <w:rFonts w:ascii="Times New Roman" w:hAnsi="Times New Roman" w:eastAsia="Times New Roman" w:cs="Times New Roman"/>
                <w:b/>
                <w:color w:val="000000"/>
                <w:spacing w:val="-8"/>
                <w:sz w:val="21"/>
                <w:szCs w:val="21"/>
                <w:vertAlign w:val="subscript"/>
              </w:rPr>
              <w:t>2</w:t>
            </w:r>
            <w:r>
              <w:rPr>
                <w:rFonts w:ascii="宋体" w:hAnsi="宋体" w:eastAsia="宋体" w:cs="宋体"/>
                <w:b/>
                <w:color w:val="000000"/>
                <w:spacing w:val="-9"/>
                <w:sz w:val="21"/>
                <w:szCs w:val="21"/>
              </w:rPr>
              <w:t>（</w:t>
            </w:r>
            <w:r>
              <w:rPr>
                <w:rFonts w:ascii="Times New Roman" w:hAnsi="Times New Roman" w:eastAsia="Times New Roman" w:cs="Times New Roman"/>
                <w:b/>
                <w:color w:val="000000"/>
                <w:spacing w:val="-9"/>
                <w:sz w:val="21"/>
                <w:szCs w:val="21"/>
              </w:rPr>
              <w:t>%</w:t>
            </w:r>
            <w:r>
              <w:rPr>
                <w:rFonts w:ascii="宋体" w:hAnsi="宋体" w:eastAsia="宋体" w:cs="宋体"/>
                <w:b/>
                <w:color w:val="000000"/>
                <w:spacing w:val="-10"/>
                <w:sz w:val="21"/>
                <w:szCs w:val="21"/>
              </w:rPr>
              <w:t>）</w:t>
            </w:r>
          </w:p>
        </w:tc>
      </w:tr>
      <w:tr w14:paraId="5BD6245C">
        <w:tblPrEx>
          <w:tblCellMar>
            <w:top w:w="0" w:type="dxa"/>
            <w:left w:w="0" w:type="dxa"/>
            <w:bottom w:w="0" w:type="dxa"/>
            <w:right w:w="0" w:type="dxa"/>
          </w:tblCellMar>
        </w:tblPrEx>
        <w:trPr>
          <w:trHeight w:val="425" w:hRule="atLeast"/>
          <w:jc w:val="center"/>
        </w:trPr>
        <w:tc>
          <w:tcPr>
            <w:tcW w:w="652" w:type="dxa"/>
            <w:vMerge w:val="continue"/>
            <w:tcBorders>
              <w:top w:val="single" w:color="000000" w:sz="2" w:space="0"/>
              <w:left w:val="single" w:color="000000" w:sz="2" w:space="0"/>
              <w:bottom w:val="single" w:color="000000" w:sz="2" w:space="0"/>
              <w:right w:val="single" w:color="000000" w:sz="2" w:space="0"/>
            </w:tcBorders>
            <w:vAlign w:val="center"/>
          </w:tcPr>
          <w:p w14:paraId="3D1AF4AC">
            <w:pPr>
              <w:keepNext w:val="0"/>
              <w:keepLines w:val="0"/>
              <w:pageBreakBefore w:val="0"/>
              <w:widowControl w:val="0"/>
              <w:kinsoku/>
              <w:wordWrap/>
              <w:overflowPunct/>
              <w:topLinePunct w:val="0"/>
              <w:bidi w:val="0"/>
              <w:adjustRightInd/>
              <w:snapToGrid/>
              <w:spacing w:line="0" w:lineRule="atLeast"/>
              <w:ind w:left="0" w:right="0" w:firstLine="0" w:firstLineChars="0"/>
              <w:jc w:val="center"/>
              <w:textAlignment w:val="auto"/>
              <w:rPr>
                <w:sz w:val="21"/>
                <w:szCs w:val="21"/>
              </w:rPr>
            </w:pPr>
          </w:p>
        </w:tc>
        <w:tc>
          <w:tcPr>
            <w:tcW w:w="859" w:type="dxa"/>
            <w:vMerge w:val="continue"/>
            <w:tcBorders>
              <w:top w:val="single" w:color="000000" w:sz="2" w:space="0"/>
              <w:left w:val="single" w:color="000000" w:sz="2" w:space="0"/>
              <w:bottom w:val="single" w:color="000000" w:sz="2" w:space="0"/>
              <w:right w:val="single" w:color="000000" w:sz="2" w:space="0"/>
            </w:tcBorders>
            <w:vAlign w:val="center"/>
          </w:tcPr>
          <w:p w14:paraId="74D5EA52">
            <w:pPr>
              <w:keepNext w:val="0"/>
              <w:keepLines w:val="0"/>
              <w:pageBreakBefore w:val="0"/>
              <w:widowControl w:val="0"/>
              <w:kinsoku/>
              <w:wordWrap/>
              <w:overflowPunct/>
              <w:topLinePunct w:val="0"/>
              <w:bidi w:val="0"/>
              <w:adjustRightInd/>
              <w:snapToGrid/>
              <w:spacing w:line="0" w:lineRule="atLeast"/>
              <w:ind w:left="0" w:right="0" w:firstLine="0" w:firstLineChars="0"/>
              <w:jc w:val="center"/>
              <w:textAlignment w:val="auto"/>
              <w:rPr>
                <w:sz w:val="21"/>
                <w:szCs w:val="21"/>
              </w:rPr>
            </w:pPr>
          </w:p>
        </w:tc>
        <w:tc>
          <w:tcPr>
            <w:tcW w:w="972" w:type="dxa"/>
            <w:vMerge w:val="continue"/>
            <w:tcBorders>
              <w:top w:val="single" w:color="000000" w:sz="2" w:space="0"/>
              <w:left w:val="single" w:color="000000" w:sz="2" w:space="0"/>
              <w:bottom w:val="single" w:color="000000" w:sz="2" w:space="0"/>
              <w:right w:val="single" w:color="000000" w:sz="2" w:space="0"/>
            </w:tcBorders>
            <w:vAlign w:val="center"/>
          </w:tcPr>
          <w:p w14:paraId="5D62D463">
            <w:pPr>
              <w:keepNext w:val="0"/>
              <w:keepLines w:val="0"/>
              <w:pageBreakBefore w:val="0"/>
              <w:widowControl w:val="0"/>
              <w:kinsoku/>
              <w:wordWrap/>
              <w:overflowPunct/>
              <w:topLinePunct w:val="0"/>
              <w:bidi w:val="0"/>
              <w:adjustRightInd/>
              <w:snapToGrid/>
              <w:spacing w:line="0" w:lineRule="atLeast"/>
              <w:ind w:left="0" w:right="0" w:firstLine="0" w:firstLineChars="0"/>
              <w:jc w:val="center"/>
              <w:textAlignment w:val="auto"/>
              <w:rPr>
                <w:sz w:val="21"/>
                <w:szCs w:val="21"/>
              </w:rPr>
            </w:pPr>
          </w:p>
        </w:tc>
        <w:tc>
          <w:tcPr>
            <w:tcW w:w="957" w:type="dxa"/>
            <w:tcBorders>
              <w:top w:val="single" w:color="000000" w:sz="2" w:space="0"/>
              <w:left w:val="single" w:color="000000" w:sz="2" w:space="0"/>
              <w:bottom w:val="single" w:color="000000" w:sz="2" w:space="0"/>
              <w:right w:val="single" w:color="000000" w:sz="2" w:space="0"/>
            </w:tcBorders>
            <w:vAlign w:val="center"/>
          </w:tcPr>
          <w:p w14:paraId="715DCCA4">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b/>
                <w:color w:val="000000"/>
                <w:spacing w:val="-3"/>
                <w:sz w:val="21"/>
                <w:szCs w:val="21"/>
              </w:rPr>
              <w:t>&gt;10</w:t>
            </w:r>
            <w:r>
              <w:rPr>
                <w:rFonts w:ascii="Times New Roman" w:hAnsi="Times New Roman" w:eastAsia="Times New Roman" w:cs="Times New Roman"/>
                <w:b/>
                <w:color w:val="000000"/>
                <w:spacing w:val="-1"/>
                <w:sz w:val="21"/>
                <w:szCs w:val="21"/>
              </w:rPr>
              <w:t>µm</w:t>
            </w:r>
          </w:p>
        </w:tc>
        <w:tc>
          <w:tcPr>
            <w:tcW w:w="871" w:type="dxa"/>
            <w:tcBorders>
              <w:top w:val="single" w:color="000000" w:sz="2" w:space="0"/>
              <w:left w:val="single" w:color="000000" w:sz="2" w:space="0"/>
              <w:bottom w:val="single" w:color="000000" w:sz="2" w:space="0"/>
              <w:right w:val="single" w:color="000000" w:sz="2" w:space="0"/>
            </w:tcBorders>
            <w:vAlign w:val="center"/>
          </w:tcPr>
          <w:p w14:paraId="64D3441F">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b/>
                <w:color w:val="000000"/>
                <w:spacing w:val="-2"/>
                <w:sz w:val="21"/>
                <w:szCs w:val="21"/>
              </w:rPr>
              <w:t>5~1</w:t>
            </w:r>
            <w:r>
              <w:rPr>
                <w:rFonts w:ascii="Times New Roman" w:hAnsi="Times New Roman" w:eastAsia="Times New Roman" w:cs="Times New Roman"/>
                <w:b/>
                <w:color w:val="000000"/>
                <w:spacing w:val="-1"/>
                <w:sz w:val="21"/>
                <w:szCs w:val="21"/>
              </w:rPr>
              <w:t>0µm</w:t>
            </w:r>
          </w:p>
        </w:tc>
        <w:tc>
          <w:tcPr>
            <w:tcW w:w="756" w:type="dxa"/>
            <w:tcBorders>
              <w:top w:val="single" w:color="000000" w:sz="2" w:space="0"/>
              <w:left w:val="single" w:color="000000" w:sz="2" w:space="0"/>
              <w:bottom w:val="single" w:color="000000" w:sz="2" w:space="0"/>
              <w:right w:val="single" w:color="000000" w:sz="2" w:space="0"/>
            </w:tcBorders>
            <w:vAlign w:val="center"/>
          </w:tcPr>
          <w:p w14:paraId="5AB929E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b/>
                <w:color w:val="000000"/>
                <w:spacing w:val="-3"/>
                <w:sz w:val="21"/>
                <w:szCs w:val="21"/>
              </w:rPr>
              <w:t>&lt;10</w:t>
            </w:r>
            <w:r>
              <w:rPr>
                <w:rFonts w:ascii="Times New Roman" w:hAnsi="Times New Roman" w:eastAsia="Times New Roman" w:cs="Times New Roman"/>
                <w:b/>
                <w:color w:val="000000"/>
                <w:spacing w:val="-1"/>
                <w:sz w:val="21"/>
                <w:szCs w:val="21"/>
              </w:rPr>
              <w:t>µm</w:t>
            </w:r>
          </w:p>
        </w:tc>
        <w:tc>
          <w:tcPr>
            <w:tcW w:w="701" w:type="dxa"/>
            <w:tcBorders>
              <w:top w:val="single" w:color="000000" w:sz="2" w:space="0"/>
              <w:left w:val="single" w:color="000000" w:sz="2" w:space="0"/>
              <w:bottom w:val="single" w:color="000000" w:sz="2" w:space="0"/>
              <w:right w:val="single" w:color="000000" w:sz="2" w:space="0"/>
            </w:tcBorders>
            <w:vAlign w:val="center"/>
          </w:tcPr>
          <w:p w14:paraId="2FB3E8D6">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b/>
                <w:color w:val="000000"/>
                <w:spacing w:val="-4"/>
                <w:sz w:val="21"/>
                <w:szCs w:val="21"/>
              </w:rPr>
              <w:t>TFe</w:t>
            </w:r>
          </w:p>
        </w:tc>
        <w:tc>
          <w:tcPr>
            <w:tcW w:w="700" w:type="dxa"/>
            <w:tcBorders>
              <w:top w:val="single" w:color="000000" w:sz="2" w:space="0"/>
              <w:left w:val="single" w:color="000000" w:sz="2" w:space="0"/>
              <w:bottom w:val="single" w:color="000000" w:sz="2" w:space="0"/>
              <w:right w:val="single" w:color="000000" w:sz="2" w:space="0"/>
            </w:tcBorders>
            <w:vAlign w:val="center"/>
          </w:tcPr>
          <w:p w14:paraId="5D551350">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b/>
                <w:color w:val="000000"/>
                <w:spacing w:val="-3"/>
                <w:sz w:val="21"/>
                <w:szCs w:val="21"/>
              </w:rPr>
              <w:t>SiO</w:t>
            </w:r>
            <w:r>
              <w:rPr>
                <w:rFonts w:ascii="Times New Roman" w:hAnsi="Times New Roman" w:eastAsia="Times New Roman" w:cs="Times New Roman"/>
                <w:b/>
                <w:color w:val="000000"/>
                <w:spacing w:val="-3"/>
                <w:sz w:val="21"/>
                <w:szCs w:val="21"/>
                <w:vertAlign w:val="subscript"/>
              </w:rPr>
              <w:t>2</w:t>
            </w:r>
          </w:p>
        </w:tc>
        <w:tc>
          <w:tcPr>
            <w:tcW w:w="698" w:type="dxa"/>
            <w:tcBorders>
              <w:top w:val="single" w:color="000000" w:sz="2" w:space="0"/>
              <w:left w:val="single" w:color="000000" w:sz="2" w:space="0"/>
              <w:bottom w:val="single" w:color="000000" w:sz="2" w:space="0"/>
              <w:right w:val="single" w:color="000000" w:sz="2" w:space="0"/>
            </w:tcBorders>
            <w:vAlign w:val="center"/>
          </w:tcPr>
          <w:p w14:paraId="003DF6E1">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b/>
                <w:color w:val="000000"/>
                <w:spacing w:val="-5"/>
                <w:sz w:val="21"/>
                <w:szCs w:val="21"/>
              </w:rPr>
              <w:t>CaO</w:t>
            </w:r>
          </w:p>
        </w:tc>
        <w:tc>
          <w:tcPr>
            <w:tcW w:w="703" w:type="dxa"/>
            <w:tcBorders>
              <w:top w:val="single" w:color="000000" w:sz="2" w:space="0"/>
              <w:left w:val="single" w:color="000000" w:sz="2" w:space="0"/>
              <w:bottom w:val="single" w:color="000000" w:sz="2" w:space="0"/>
              <w:right w:val="single" w:color="000000" w:sz="2" w:space="0"/>
            </w:tcBorders>
            <w:vAlign w:val="center"/>
          </w:tcPr>
          <w:p w14:paraId="37C361A7">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b/>
                <w:color w:val="000000"/>
                <w:spacing w:val="-4"/>
                <w:sz w:val="21"/>
                <w:szCs w:val="21"/>
              </w:rPr>
              <w:t>MgO</w:t>
            </w:r>
          </w:p>
        </w:tc>
        <w:tc>
          <w:tcPr>
            <w:tcW w:w="876" w:type="dxa"/>
            <w:vMerge w:val="continue"/>
            <w:tcBorders>
              <w:top w:val="single" w:color="000000" w:sz="2" w:space="0"/>
              <w:left w:val="single" w:color="000000" w:sz="2" w:space="0"/>
              <w:bottom w:val="single" w:color="000000" w:sz="2" w:space="0"/>
              <w:right w:val="single" w:color="000000" w:sz="2" w:space="0"/>
            </w:tcBorders>
            <w:vAlign w:val="center"/>
          </w:tcPr>
          <w:p w14:paraId="1E37FB76">
            <w:pPr>
              <w:keepNext w:val="0"/>
              <w:keepLines w:val="0"/>
              <w:pageBreakBefore w:val="0"/>
              <w:widowControl w:val="0"/>
              <w:kinsoku/>
              <w:wordWrap/>
              <w:overflowPunct/>
              <w:topLinePunct w:val="0"/>
              <w:bidi w:val="0"/>
              <w:adjustRightInd/>
              <w:snapToGrid/>
              <w:spacing w:line="0" w:lineRule="atLeast"/>
              <w:ind w:left="0" w:right="0" w:firstLine="0" w:firstLineChars="0"/>
              <w:jc w:val="center"/>
              <w:textAlignment w:val="auto"/>
              <w:rPr>
                <w:sz w:val="21"/>
                <w:szCs w:val="21"/>
              </w:rPr>
            </w:pPr>
          </w:p>
        </w:tc>
      </w:tr>
      <w:tr w14:paraId="14C322C4">
        <w:tblPrEx>
          <w:tblCellMar>
            <w:top w:w="0" w:type="dxa"/>
            <w:left w:w="0" w:type="dxa"/>
            <w:bottom w:w="0" w:type="dxa"/>
            <w:right w:w="0" w:type="dxa"/>
          </w:tblCellMar>
        </w:tblPrEx>
        <w:trPr>
          <w:trHeight w:val="425" w:hRule="atLeast"/>
          <w:jc w:val="center"/>
        </w:trPr>
        <w:tc>
          <w:tcPr>
            <w:tcW w:w="652" w:type="dxa"/>
            <w:vMerge w:val="restart"/>
            <w:tcBorders>
              <w:top w:val="single" w:color="000000" w:sz="2" w:space="0"/>
              <w:left w:val="single" w:color="000000" w:sz="2" w:space="0"/>
              <w:bottom w:val="single" w:color="000000" w:sz="2" w:space="0"/>
              <w:right w:val="single" w:color="000000" w:sz="2" w:space="0"/>
            </w:tcBorders>
            <w:vAlign w:val="center"/>
          </w:tcPr>
          <w:p w14:paraId="3C0A93C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p>
          <w:p w14:paraId="34849E33">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p>
          <w:p w14:paraId="218F216F">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sz w:val="21"/>
                <w:szCs w:val="21"/>
              </w:rPr>
            </w:pPr>
            <w:r>
              <w:rPr>
                <w:rFonts w:ascii="宋体" w:hAnsi="宋体" w:eastAsia="宋体" w:cs="宋体"/>
                <w:color w:val="000000"/>
                <w:spacing w:val="-6"/>
                <w:sz w:val="21"/>
                <w:szCs w:val="21"/>
              </w:rPr>
              <w:t>轧钢</w:t>
            </w:r>
          </w:p>
        </w:tc>
        <w:tc>
          <w:tcPr>
            <w:tcW w:w="859" w:type="dxa"/>
            <w:tcBorders>
              <w:top w:val="single" w:color="000000" w:sz="2" w:space="0"/>
              <w:left w:val="single" w:color="000000" w:sz="2" w:space="0"/>
              <w:bottom w:val="single" w:color="000000" w:sz="2" w:space="0"/>
              <w:right w:val="single" w:color="000000" w:sz="2" w:space="0"/>
            </w:tcBorders>
            <w:vAlign w:val="center"/>
          </w:tcPr>
          <w:p w14:paraId="72ECE779">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sz w:val="21"/>
                <w:szCs w:val="21"/>
              </w:rPr>
            </w:pPr>
            <w:r>
              <w:rPr>
                <w:rFonts w:ascii="宋体" w:hAnsi="宋体" w:eastAsia="宋体" w:cs="宋体"/>
                <w:color w:val="000000"/>
                <w:spacing w:val="-6"/>
                <w:sz w:val="21"/>
                <w:szCs w:val="21"/>
              </w:rPr>
              <w:t>初轧</w:t>
            </w:r>
          </w:p>
        </w:tc>
        <w:tc>
          <w:tcPr>
            <w:tcW w:w="972" w:type="dxa"/>
            <w:tcBorders>
              <w:top w:val="single" w:color="000000" w:sz="2" w:space="0"/>
              <w:left w:val="single" w:color="000000" w:sz="2" w:space="0"/>
              <w:bottom w:val="single" w:color="000000" w:sz="2" w:space="0"/>
              <w:right w:val="single" w:color="000000" w:sz="2" w:space="0"/>
            </w:tcBorders>
            <w:vAlign w:val="center"/>
          </w:tcPr>
          <w:p w14:paraId="7B1374B0">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5.</w:t>
            </w:r>
            <w:r>
              <w:rPr>
                <w:rFonts w:ascii="Times New Roman" w:hAnsi="Times New Roman" w:eastAsia="Times New Roman" w:cs="Times New Roman"/>
                <w:color w:val="000000"/>
                <w:spacing w:val="-2"/>
                <w:sz w:val="21"/>
                <w:szCs w:val="21"/>
              </w:rPr>
              <w:t>85</w:t>
            </w:r>
          </w:p>
        </w:tc>
        <w:tc>
          <w:tcPr>
            <w:tcW w:w="957" w:type="dxa"/>
            <w:tcBorders>
              <w:top w:val="single" w:color="000000" w:sz="2" w:space="0"/>
              <w:left w:val="single" w:color="000000" w:sz="2" w:space="0"/>
              <w:bottom w:val="single" w:color="000000" w:sz="2" w:space="0"/>
              <w:right w:val="single" w:color="000000" w:sz="2" w:space="0"/>
            </w:tcBorders>
            <w:vAlign w:val="center"/>
          </w:tcPr>
          <w:p w14:paraId="65143694">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87</w:t>
            </w:r>
            <w:r>
              <w:rPr>
                <w:rFonts w:ascii="Times New Roman" w:hAnsi="Times New Roman" w:eastAsia="Times New Roman" w:cs="Times New Roman"/>
                <w:color w:val="000000"/>
                <w:spacing w:val="-2"/>
                <w:sz w:val="21"/>
                <w:szCs w:val="21"/>
              </w:rPr>
              <w:t>.4</w:t>
            </w:r>
          </w:p>
        </w:tc>
        <w:tc>
          <w:tcPr>
            <w:tcW w:w="871" w:type="dxa"/>
            <w:tcBorders>
              <w:top w:val="single" w:color="000000" w:sz="2" w:space="0"/>
              <w:left w:val="single" w:color="000000" w:sz="2" w:space="0"/>
              <w:bottom w:val="single" w:color="000000" w:sz="2" w:space="0"/>
              <w:right w:val="single" w:color="000000" w:sz="2" w:space="0"/>
            </w:tcBorders>
            <w:vAlign w:val="center"/>
          </w:tcPr>
          <w:p w14:paraId="33825527">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0.7</w:t>
            </w:r>
          </w:p>
        </w:tc>
        <w:tc>
          <w:tcPr>
            <w:tcW w:w="756" w:type="dxa"/>
            <w:tcBorders>
              <w:top w:val="single" w:color="000000" w:sz="2" w:space="0"/>
              <w:left w:val="single" w:color="000000" w:sz="2" w:space="0"/>
              <w:bottom w:val="single" w:color="000000" w:sz="2" w:space="0"/>
              <w:right w:val="single" w:color="000000" w:sz="2" w:space="0"/>
            </w:tcBorders>
            <w:vAlign w:val="center"/>
          </w:tcPr>
          <w:p w14:paraId="135D3181">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6"/>
                <w:sz w:val="21"/>
                <w:szCs w:val="21"/>
              </w:rPr>
              <w:t>11</w:t>
            </w:r>
            <w:r>
              <w:rPr>
                <w:rFonts w:ascii="Times New Roman" w:hAnsi="Times New Roman" w:eastAsia="Times New Roman" w:cs="Times New Roman"/>
                <w:color w:val="000000"/>
                <w:spacing w:val="-4"/>
                <w:sz w:val="21"/>
                <w:szCs w:val="21"/>
              </w:rPr>
              <w:t>.9</w:t>
            </w:r>
          </w:p>
        </w:tc>
        <w:tc>
          <w:tcPr>
            <w:tcW w:w="701" w:type="dxa"/>
            <w:tcBorders>
              <w:top w:val="single" w:color="000000" w:sz="2" w:space="0"/>
              <w:left w:val="single" w:color="000000" w:sz="2" w:space="0"/>
              <w:bottom w:val="single" w:color="000000" w:sz="2" w:space="0"/>
              <w:right w:val="single" w:color="000000" w:sz="2" w:space="0"/>
            </w:tcBorders>
            <w:vAlign w:val="center"/>
          </w:tcPr>
          <w:p w14:paraId="7E8359D5">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69</w:t>
            </w:r>
            <w:r>
              <w:rPr>
                <w:rFonts w:ascii="Times New Roman" w:hAnsi="Times New Roman" w:eastAsia="Times New Roman" w:cs="Times New Roman"/>
                <w:color w:val="000000"/>
                <w:spacing w:val="-2"/>
                <w:sz w:val="21"/>
                <w:szCs w:val="21"/>
              </w:rPr>
              <w:t>.1</w:t>
            </w:r>
          </w:p>
        </w:tc>
        <w:tc>
          <w:tcPr>
            <w:tcW w:w="700" w:type="dxa"/>
            <w:tcBorders>
              <w:top w:val="single" w:color="000000" w:sz="2" w:space="0"/>
              <w:left w:val="single" w:color="000000" w:sz="2" w:space="0"/>
              <w:bottom w:val="single" w:color="000000" w:sz="2" w:space="0"/>
              <w:right w:val="single" w:color="000000" w:sz="2" w:space="0"/>
            </w:tcBorders>
            <w:vAlign w:val="center"/>
          </w:tcPr>
          <w:p w14:paraId="08BD203F">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2.</w:t>
            </w:r>
            <w:r>
              <w:rPr>
                <w:rFonts w:ascii="Times New Roman" w:hAnsi="Times New Roman" w:eastAsia="Times New Roman" w:cs="Times New Roman"/>
                <w:color w:val="000000"/>
                <w:spacing w:val="-2"/>
                <w:sz w:val="21"/>
                <w:szCs w:val="21"/>
              </w:rPr>
              <w:t>58</w:t>
            </w:r>
          </w:p>
        </w:tc>
        <w:tc>
          <w:tcPr>
            <w:tcW w:w="698" w:type="dxa"/>
            <w:tcBorders>
              <w:top w:val="single" w:color="000000" w:sz="2" w:space="0"/>
              <w:left w:val="single" w:color="000000" w:sz="2" w:space="0"/>
              <w:bottom w:val="single" w:color="000000" w:sz="2" w:space="0"/>
              <w:right w:val="single" w:color="000000" w:sz="2" w:space="0"/>
            </w:tcBorders>
            <w:vAlign w:val="center"/>
          </w:tcPr>
          <w:p w14:paraId="6A5B0AC7">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0.</w:t>
            </w:r>
            <w:r>
              <w:rPr>
                <w:rFonts w:ascii="Times New Roman" w:hAnsi="Times New Roman" w:eastAsia="Times New Roman" w:cs="Times New Roman"/>
                <w:color w:val="000000"/>
                <w:spacing w:val="-2"/>
                <w:sz w:val="21"/>
                <w:szCs w:val="21"/>
              </w:rPr>
              <w:t>86</w:t>
            </w:r>
          </w:p>
        </w:tc>
        <w:tc>
          <w:tcPr>
            <w:tcW w:w="703" w:type="dxa"/>
            <w:tcBorders>
              <w:top w:val="single" w:color="000000" w:sz="2" w:space="0"/>
              <w:left w:val="single" w:color="000000" w:sz="2" w:space="0"/>
              <w:bottom w:val="single" w:color="000000" w:sz="2" w:space="0"/>
              <w:right w:val="single" w:color="000000" w:sz="2" w:space="0"/>
            </w:tcBorders>
            <w:vAlign w:val="center"/>
          </w:tcPr>
          <w:p w14:paraId="40428A03">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0.</w:t>
            </w:r>
            <w:r>
              <w:rPr>
                <w:rFonts w:ascii="Times New Roman" w:hAnsi="Times New Roman" w:eastAsia="Times New Roman" w:cs="Times New Roman"/>
                <w:color w:val="000000"/>
                <w:spacing w:val="-2"/>
                <w:sz w:val="21"/>
                <w:szCs w:val="21"/>
              </w:rPr>
              <w:t>62</w:t>
            </w:r>
          </w:p>
        </w:tc>
        <w:tc>
          <w:tcPr>
            <w:tcW w:w="876" w:type="dxa"/>
            <w:tcBorders>
              <w:top w:val="single" w:color="000000" w:sz="2" w:space="0"/>
              <w:left w:val="single" w:color="000000" w:sz="2" w:space="0"/>
              <w:bottom w:val="single" w:color="000000" w:sz="2" w:space="0"/>
              <w:right w:val="single" w:color="000000" w:sz="2" w:space="0"/>
            </w:tcBorders>
            <w:vAlign w:val="center"/>
          </w:tcPr>
          <w:p w14:paraId="154962BD">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1.</w:t>
            </w:r>
            <w:r>
              <w:rPr>
                <w:rFonts w:ascii="Times New Roman" w:hAnsi="Times New Roman" w:eastAsia="Times New Roman" w:cs="Times New Roman"/>
                <w:color w:val="000000"/>
                <w:spacing w:val="-2"/>
                <w:sz w:val="21"/>
                <w:szCs w:val="21"/>
              </w:rPr>
              <w:t>17</w:t>
            </w:r>
          </w:p>
        </w:tc>
      </w:tr>
      <w:tr w14:paraId="05F50A9E">
        <w:tblPrEx>
          <w:tblCellMar>
            <w:top w:w="0" w:type="dxa"/>
            <w:left w:w="0" w:type="dxa"/>
            <w:bottom w:w="0" w:type="dxa"/>
            <w:right w:w="0" w:type="dxa"/>
          </w:tblCellMar>
        </w:tblPrEx>
        <w:trPr>
          <w:trHeight w:val="425" w:hRule="atLeast"/>
          <w:jc w:val="center"/>
        </w:trPr>
        <w:tc>
          <w:tcPr>
            <w:tcW w:w="652" w:type="dxa"/>
            <w:vMerge w:val="continue"/>
            <w:tcBorders>
              <w:top w:val="single" w:color="000000" w:sz="2" w:space="0"/>
              <w:left w:val="single" w:color="000000" w:sz="2" w:space="0"/>
              <w:bottom w:val="single" w:color="000000" w:sz="2" w:space="0"/>
              <w:right w:val="single" w:color="000000" w:sz="2" w:space="0"/>
            </w:tcBorders>
            <w:vAlign w:val="center"/>
          </w:tcPr>
          <w:p w14:paraId="19644B6B">
            <w:pPr>
              <w:keepNext w:val="0"/>
              <w:keepLines w:val="0"/>
              <w:pageBreakBefore w:val="0"/>
              <w:widowControl w:val="0"/>
              <w:kinsoku/>
              <w:wordWrap/>
              <w:overflowPunct/>
              <w:topLinePunct w:val="0"/>
              <w:bidi w:val="0"/>
              <w:adjustRightInd/>
              <w:snapToGrid/>
              <w:spacing w:line="0" w:lineRule="atLeast"/>
              <w:ind w:left="0" w:right="0" w:firstLine="0" w:firstLineChars="0"/>
              <w:jc w:val="center"/>
              <w:textAlignment w:val="auto"/>
              <w:rPr>
                <w:sz w:val="21"/>
                <w:szCs w:val="21"/>
              </w:rPr>
            </w:pPr>
          </w:p>
        </w:tc>
        <w:tc>
          <w:tcPr>
            <w:tcW w:w="859" w:type="dxa"/>
            <w:tcBorders>
              <w:top w:val="single" w:color="000000" w:sz="2" w:space="0"/>
              <w:left w:val="single" w:color="000000" w:sz="2" w:space="0"/>
              <w:bottom w:val="single" w:color="000000" w:sz="2" w:space="0"/>
              <w:right w:val="single" w:color="000000" w:sz="2" w:space="0"/>
            </w:tcBorders>
            <w:vAlign w:val="center"/>
          </w:tcPr>
          <w:p w14:paraId="12D5C4E1">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sz w:val="21"/>
                <w:szCs w:val="21"/>
              </w:rPr>
            </w:pPr>
            <w:r>
              <w:rPr>
                <w:rFonts w:ascii="宋体" w:hAnsi="宋体" w:eastAsia="宋体" w:cs="宋体"/>
                <w:color w:val="000000"/>
                <w:spacing w:val="-6"/>
                <w:sz w:val="21"/>
                <w:szCs w:val="21"/>
              </w:rPr>
              <w:t>型钢</w:t>
            </w:r>
          </w:p>
        </w:tc>
        <w:tc>
          <w:tcPr>
            <w:tcW w:w="972" w:type="dxa"/>
            <w:tcBorders>
              <w:top w:val="single" w:color="000000" w:sz="2" w:space="0"/>
              <w:left w:val="single" w:color="000000" w:sz="2" w:space="0"/>
              <w:bottom w:val="single" w:color="000000" w:sz="2" w:space="0"/>
              <w:right w:val="single" w:color="000000" w:sz="2" w:space="0"/>
            </w:tcBorders>
            <w:vAlign w:val="center"/>
          </w:tcPr>
          <w:p w14:paraId="25212311">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5.</w:t>
            </w:r>
            <w:r>
              <w:rPr>
                <w:rFonts w:ascii="Times New Roman" w:hAnsi="Times New Roman" w:eastAsia="Times New Roman" w:cs="Times New Roman"/>
                <w:color w:val="000000"/>
                <w:spacing w:val="-2"/>
                <w:sz w:val="21"/>
                <w:szCs w:val="21"/>
              </w:rPr>
              <w:t>76</w:t>
            </w:r>
          </w:p>
        </w:tc>
        <w:tc>
          <w:tcPr>
            <w:tcW w:w="957" w:type="dxa"/>
            <w:tcBorders>
              <w:top w:val="single" w:color="000000" w:sz="2" w:space="0"/>
              <w:left w:val="single" w:color="000000" w:sz="2" w:space="0"/>
              <w:bottom w:val="single" w:color="000000" w:sz="2" w:space="0"/>
              <w:right w:val="single" w:color="000000" w:sz="2" w:space="0"/>
            </w:tcBorders>
            <w:vAlign w:val="center"/>
          </w:tcPr>
          <w:p w14:paraId="7F6A0F40">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83</w:t>
            </w:r>
            <w:r>
              <w:rPr>
                <w:rFonts w:ascii="Times New Roman" w:hAnsi="Times New Roman" w:eastAsia="Times New Roman" w:cs="Times New Roman"/>
                <w:color w:val="000000"/>
                <w:spacing w:val="-2"/>
                <w:sz w:val="21"/>
                <w:szCs w:val="21"/>
              </w:rPr>
              <w:t>.7</w:t>
            </w:r>
          </w:p>
        </w:tc>
        <w:tc>
          <w:tcPr>
            <w:tcW w:w="871" w:type="dxa"/>
            <w:tcBorders>
              <w:top w:val="single" w:color="000000" w:sz="2" w:space="0"/>
              <w:left w:val="single" w:color="000000" w:sz="2" w:space="0"/>
              <w:bottom w:val="single" w:color="000000" w:sz="2" w:space="0"/>
              <w:right w:val="single" w:color="000000" w:sz="2" w:space="0"/>
            </w:tcBorders>
            <w:vAlign w:val="center"/>
          </w:tcPr>
          <w:p w14:paraId="534034FD">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2.9</w:t>
            </w:r>
          </w:p>
        </w:tc>
        <w:tc>
          <w:tcPr>
            <w:tcW w:w="756" w:type="dxa"/>
            <w:tcBorders>
              <w:top w:val="single" w:color="000000" w:sz="2" w:space="0"/>
              <w:left w:val="single" w:color="000000" w:sz="2" w:space="0"/>
              <w:bottom w:val="single" w:color="000000" w:sz="2" w:space="0"/>
              <w:right w:val="single" w:color="000000" w:sz="2" w:space="0"/>
            </w:tcBorders>
            <w:vAlign w:val="center"/>
          </w:tcPr>
          <w:p w14:paraId="766463E4">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13</w:t>
            </w:r>
            <w:r>
              <w:rPr>
                <w:rFonts w:ascii="Times New Roman" w:hAnsi="Times New Roman" w:eastAsia="Times New Roman" w:cs="Times New Roman"/>
                <w:color w:val="000000"/>
                <w:spacing w:val="-2"/>
                <w:sz w:val="21"/>
                <w:szCs w:val="21"/>
              </w:rPr>
              <w:t>.4</w:t>
            </w:r>
          </w:p>
        </w:tc>
        <w:tc>
          <w:tcPr>
            <w:tcW w:w="701" w:type="dxa"/>
            <w:tcBorders>
              <w:top w:val="single" w:color="000000" w:sz="2" w:space="0"/>
              <w:left w:val="single" w:color="000000" w:sz="2" w:space="0"/>
              <w:bottom w:val="single" w:color="000000" w:sz="2" w:space="0"/>
              <w:right w:val="single" w:color="000000" w:sz="2" w:space="0"/>
            </w:tcBorders>
            <w:vAlign w:val="center"/>
          </w:tcPr>
          <w:p w14:paraId="157EBD87">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3"/>
                <w:sz w:val="21"/>
                <w:szCs w:val="21"/>
              </w:rPr>
              <w:t>6</w:t>
            </w:r>
            <w:r>
              <w:rPr>
                <w:rFonts w:ascii="Times New Roman" w:hAnsi="Times New Roman" w:eastAsia="Times New Roman" w:cs="Times New Roman"/>
                <w:color w:val="000000"/>
                <w:spacing w:val="-2"/>
                <w:sz w:val="21"/>
                <w:szCs w:val="21"/>
              </w:rPr>
              <w:t>5.13</w:t>
            </w:r>
          </w:p>
        </w:tc>
        <w:tc>
          <w:tcPr>
            <w:tcW w:w="700" w:type="dxa"/>
            <w:tcBorders>
              <w:top w:val="single" w:color="000000" w:sz="2" w:space="0"/>
              <w:left w:val="single" w:color="000000" w:sz="2" w:space="0"/>
              <w:bottom w:val="single" w:color="000000" w:sz="2" w:space="0"/>
              <w:right w:val="single" w:color="000000" w:sz="2" w:space="0"/>
            </w:tcBorders>
            <w:vAlign w:val="center"/>
          </w:tcPr>
          <w:p w14:paraId="39BB80BB">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3.</w:t>
            </w:r>
            <w:r>
              <w:rPr>
                <w:rFonts w:ascii="Times New Roman" w:hAnsi="Times New Roman" w:eastAsia="Times New Roman" w:cs="Times New Roman"/>
                <w:color w:val="000000"/>
                <w:spacing w:val="-2"/>
                <w:sz w:val="21"/>
                <w:szCs w:val="21"/>
              </w:rPr>
              <w:t>54</w:t>
            </w:r>
          </w:p>
        </w:tc>
        <w:tc>
          <w:tcPr>
            <w:tcW w:w="698" w:type="dxa"/>
            <w:tcBorders>
              <w:top w:val="single" w:color="000000" w:sz="2" w:space="0"/>
              <w:left w:val="single" w:color="000000" w:sz="2" w:space="0"/>
              <w:bottom w:val="single" w:color="000000" w:sz="2" w:space="0"/>
              <w:right w:val="single" w:color="000000" w:sz="2" w:space="0"/>
            </w:tcBorders>
            <w:vAlign w:val="center"/>
          </w:tcPr>
          <w:p w14:paraId="3A7C4689">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1.</w:t>
            </w:r>
            <w:r>
              <w:rPr>
                <w:rFonts w:ascii="Times New Roman" w:hAnsi="Times New Roman" w:eastAsia="Times New Roman" w:cs="Times New Roman"/>
                <w:color w:val="000000"/>
                <w:spacing w:val="-2"/>
                <w:sz w:val="21"/>
                <w:szCs w:val="21"/>
              </w:rPr>
              <w:t>75</w:t>
            </w:r>
          </w:p>
        </w:tc>
        <w:tc>
          <w:tcPr>
            <w:tcW w:w="703" w:type="dxa"/>
            <w:tcBorders>
              <w:top w:val="single" w:color="000000" w:sz="2" w:space="0"/>
              <w:left w:val="single" w:color="000000" w:sz="2" w:space="0"/>
              <w:bottom w:val="single" w:color="000000" w:sz="2" w:space="0"/>
              <w:right w:val="single" w:color="000000" w:sz="2" w:space="0"/>
            </w:tcBorders>
            <w:vAlign w:val="center"/>
          </w:tcPr>
          <w:p w14:paraId="2CEA377E">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1.</w:t>
            </w:r>
            <w:r>
              <w:rPr>
                <w:rFonts w:ascii="Times New Roman" w:hAnsi="Times New Roman" w:eastAsia="Times New Roman" w:cs="Times New Roman"/>
                <w:color w:val="000000"/>
                <w:spacing w:val="-2"/>
                <w:sz w:val="21"/>
                <w:szCs w:val="21"/>
              </w:rPr>
              <w:t>81</w:t>
            </w:r>
          </w:p>
        </w:tc>
        <w:tc>
          <w:tcPr>
            <w:tcW w:w="876" w:type="dxa"/>
            <w:tcBorders>
              <w:top w:val="single" w:color="000000" w:sz="2" w:space="0"/>
              <w:left w:val="single" w:color="000000" w:sz="2" w:space="0"/>
              <w:bottom w:val="single" w:color="000000" w:sz="2" w:space="0"/>
              <w:right w:val="single" w:color="000000" w:sz="2" w:space="0"/>
            </w:tcBorders>
            <w:vAlign w:val="center"/>
          </w:tcPr>
          <w:p w14:paraId="1C8E7FF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12</w:t>
            </w:r>
            <w:r>
              <w:rPr>
                <w:rFonts w:ascii="Times New Roman" w:hAnsi="Times New Roman" w:eastAsia="Times New Roman" w:cs="Times New Roman"/>
                <w:color w:val="000000"/>
                <w:spacing w:val="-2"/>
                <w:sz w:val="21"/>
                <w:szCs w:val="21"/>
              </w:rPr>
              <w:t>.0</w:t>
            </w:r>
          </w:p>
        </w:tc>
      </w:tr>
      <w:tr w14:paraId="71941D11">
        <w:tblPrEx>
          <w:tblCellMar>
            <w:top w:w="0" w:type="dxa"/>
            <w:left w:w="0" w:type="dxa"/>
            <w:bottom w:w="0" w:type="dxa"/>
            <w:right w:w="0" w:type="dxa"/>
          </w:tblCellMar>
        </w:tblPrEx>
        <w:trPr>
          <w:trHeight w:val="425" w:hRule="atLeast"/>
          <w:jc w:val="center"/>
        </w:trPr>
        <w:tc>
          <w:tcPr>
            <w:tcW w:w="652" w:type="dxa"/>
            <w:vMerge w:val="continue"/>
            <w:tcBorders>
              <w:top w:val="single" w:color="000000" w:sz="2" w:space="0"/>
              <w:left w:val="single" w:color="000000" w:sz="2" w:space="0"/>
              <w:bottom w:val="single" w:color="000000" w:sz="2" w:space="0"/>
              <w:right w:val="single" w:color="000000" w:sz="2" w:space="0"/>
            </w:tcBorders>
            <w:vAlign w:val="center"/>
          </w:tcPr>
          <w:p w14:paraId="6941CBA2">
            <w:pPr>
              <w:keepNext w:val="0"/>
              <w:keepLines w:val="0"/>
              <w:pageBreakBefore w:val="0"/>
              <w:widowControl w:val="0"/>
              <w:kinsoku/>
              <w:wordWrap/>
              <w:overflowPunct/>
              <w:topLinePunct w:val="0"/>
              <w:bidi w:val="0"/>
              <w:adjustRightInd/>
              <w:snapToGrid/>
              <w:spacing w:line="0" w:lineRule="atLeast"/>
              <w:ind w:left="0" w:right="0" w:firstLine="0" w:firstLineChars="0"/>
              <w:jc w:val="center"/>
              <w:textAlignment w:val="auto"/>
              <w:rPr>
                <w:sz w:val="21"/>
                <w:szCs w:val="21"/>
              </w:rPr>
            </w:pPr>
          </w:p>
        </w:tc>
        <w:tc>
          <w:tcPr>
            <w:tcW w:w="859" w:type="dxa"/>
            <w:tcBorders>
              <w:top w:val="single" w:color="000000" w:sz="2" w:space="0"/>
              <w:left w:val="single" w:color="000000" w:sz="2" w:space="0"/>
              <w:bottom w:val="single" w:color="000000" w:sz="2" w:space="0"/>
              <w:right w:val="single" w:color="000000" w:sz="2" w:space="0"/>
            </w:tcBorders>
            <w:vAlign w:val="center"/>
          </w:tcPr>
          <w:p w14:paraId="39260D07">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sz w:val="21"/>
                <w:szCs w:val="21"/>
              </w:rPr>
            </w:pPr>
            <w:r>
              <w:rPr>
                <w:rFonts w:ascii="宋体" w:hAnsi="宋体" w:eastAsia="宋体" w:cs="宋体"/>
                <w:color w:val="000000"/>
                <w:spacing w:val="-6"/>
                <w:sz w:val="21"/>
                <w:szCs w:val="21"/>
              </w:rPr>
              <w:t>钢板</w:t>
            </w:r>
          </w:p>
        </w:tc>
        <w:tc>
          <w:tcPr>
            <w:tcW w:w="972" w:type="dxa"/>
            <w:tcBorders>
              <w:top w:val="single" w:color="000000" w:sz="2" w:space="0"/>
              <w:left w:val="single" w:color="000000" w:sz="2" w:space="0"/>
              <w:bottom w:val="single" w:color="000000" w:sz="2" w:space="0"/>
              <w:right w:val="single" w:color="000000" w:sz="2" w:space="0"/>
            </w:tcBorders>
            <w:vAlign w:val="center"/>
          </w:tcPr>
          <w:p w14:paraId="4EEFFC7A">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4.</w:t>
            </w:r>
            <w:r>
              <w:rPr>
                <w:rFonts w:ascii="Times New Roman" w:hAnsi="Times New Roman" w:eastAsia="Times New Roman" w:cs="Times New Roman"/>
                <w:color w:val="000000"/>
                <w:spacing w:val="-2"/>
                <w:sz w:val="21"/>
                <w:szCs w:val="21"/>
              </w:rPr>
              <w:t>41</w:t>
            </w:r>
          </w:p>
        </w:tc>
        <w:tc>
          <w:tcPr>
            <w:tcW w:w="957" w:type="dxa"/>
            <w:tcBorders>
              <w:top w:val="single" w:color="000000" w:sz="2" w:space="0"/>
              <w:left w:val="single" w:color="000000" w:sz="2" w:space="0"/>
              <w:bottom w:val="single" w:color="000000" w:sz="2" w:space="0"/>
              <w:right w:val="single" w:color="000000" w:sz="2" w:space="0"/>
            </w:tcBorders>
            <w:vAlign w:val="center"/>
          </w:tcPr>
          <w:p w14:paraId="563458EC">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6"/>
                <w:sz w:val="21"/>
                <w:szCs w:val="21"/>
              </w:rPr>
              <w:t>85</w:t>
            </w:r>
          </w:p>
        </w:tc>
        <w:tc>
          <w:tcPr>
            <w:tcW w:w="871" w:type="dxa"/>
            <w:tcBorders>
              <w:top w:val="single" w:color="000000" w:sz="2" w:space="0"/>
              <w:left w:val="single" w:color="000000" w:sz="2" w:space="0"/>
              <w:bottom w:val="single" w:color="000000" w:sz="2" w:space="0"/>
              <w:right w:val="single" w:color="000000" w:sz="2" w:space="0"/>
            </w:tcBorders>
            <w:vAlign w:val="center"/>
          </w:tcPr>
          <w:p w14:paraId="22068876">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2.5</w:t>
            </w:r>
          </w:p>
        </w:tc>
        <w:tc>
          <w:tcPr>
            <w:tcW w:w="756" w:type="dxa"/>
            <w:tcBorders>
              <w:top w:val="single" w:color="000000" w:sz="2" w:space="0"/>
              <w:left w:val="single" w:color="000000" w:sz="2" w:space="0"/>
              <w:bottom w:val="single" w:color="000000" w:sz="2" w:space="0"/>
              <w:right w:val="single" w:color="000000" w:sz="2" w:space="0"/>
            </w:tcBorders>
            <w:vAlign w:val="center"/>
          </w:tcPr>
          <w:p w14:paraId="0DE9DB41">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12</w:t>
            </w:r>
            <w:r>
              <w:rPr>
                <w:rFonts w:ascii="Times New Roman" w:hAnsi="Times New Roman" w:eastAsia="Times New Roman" w:cs="Times New Roman"/>
                <w:color w:val="000000"/>
                <w:spacing w:val="-2"/>
                <w:sz w:val="21"/>
                <w:szCs w:val="21"/>
              </w:rPr>
              <w:t>.5</w:t>
            </w:r>
          </w:p>
        </w:tc>
        <w:tc>
          <w:tcPr>
            <w:tcW w:w="701" w:type="dxa"/>
            <w:tcBorders>
              <w:top w:val="single" w:color="000000" w:sz="2" w:space="0"/>
              <w:left w:val="single" w:color="000000" w:sz="2" w:space="0"/>
              <w:bottom w:val="single" w:color="000000" w:sz="2" w:space="0"/>
              <w:right w:val="single" w:color="000000" w:sz="2" w:space="0"/>
            </w:tcBorders>
            <w:vAlign w:val="center"/>
          </w:tcPr>
          <w:p w14:paraId="06A7DF9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3"/>
                <w:sz w:val="21"/>
                <w:szCs w:val="21"/>
              </w:rPr>
              <w:t>5</w:t>
            </w:r>
            <w:r>
              <w:rPr>
                <w:rFonts w:ascii="Times New Roman" w:hAnsi="Times New Roman" w:eastAsia="Times New Roman" w:cs="Times New Roman"/>
                <w:color w:val="000000"/>
                <w:spacing w:val="-2"/>
                <w:sz w:val="21"/>
                <w:szCs w:val="21"/>
              </w:rPr>
              <w:t>9.68</w:t>
            </w:r>
          </w:p>
        </w:tc>
        <w:tc>
          <w:tcPr>
            <w:tcW w:w="700" w:type="dxa"/>
            <w:tcBorders>
              <w:top w:val="single" w:color="000000" w:sz="2" w:space="0"/>
              <w:left w:val="single" w:color="000000" w:sz="2" w:space="0"/>
              <w:bottom w:val="single" w:color="000000" w:sz="2" w:space="0"/>
              <w:right w:val="single" w:color="000000" w:sz="2" w:space="0"/>
            </w:tcBorders>
            <w:vAlign w:val="center"/>
          </w:tcPr>
          <w:p w14:paraId="446F454F">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5.</w:t>
            </w:r>
            <w:r>
              <w:rPr>
                <w:rFonts w:ascii="Times New Roman" w:hAnsi="Times New Roman" w:eastAsia="Times New Roman" w:cs="Times New Roman"/>
                <w:color w:val="000000"/>
                <w:spacing w:val="-2"/>
                <w:sz w:val="21"/>
                <w:szCs w:val="21"/>
              </w:rPr>
              <w:t>85</w:t>
            </w:r>
          </w:p>
        </w:tc>
        <w:tc>
          <w:tcPr>
            <w:tcW w:w="698" w:type="dxa"/>
            <w:tcBorders>
              <w:top w:val="single" w:color="000000" w:sz="2" w:space="0"/>
              <w:left w:val="single" w:color="000000" w:sz="2" w:space="0"/>
              <w:bottom w:val="single" w:color="000000" w:sz="2" w:space="0"/>
              <w:right w:val="single" w:color="000000" w:sz="2" w:space="0"/>
            </w:tcBorders>
            <w:vAlign w:val="center"/>
          </w:tcPr>
          <w:p w14:paraId="3B170EF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3.</w:t>
            </w:r>
            <w:r>
              <w:rPr>
                <w:rFonts w:ascii="Times New Roman" w:hAnsi="Times New Roman" w:eastAsia="Times New Roman" w:cs="Times New Roman"/>
                <w:color w:val="000000"/>
                <w:spacing w:val="-2"/>
                <w:sz w:val="21"/>
                <w:szCs w:val="21"/>
              </w:rPr>
              <w:t>13</w:t>
            </w:r>
          </w:p>
        </w:tc>
        <w:tc>
          <w:tcPr>
            <w:tcW w:w="703" w:type="dxa"/>
            <w:tcBorders>
              <w:top w:val="single" w:color="000000" w:sz="2" w:space="0"/>
              <w:left w:val="single" w:color="000000" w:sz="2" w:space="0"/>
              <w:bottom w:val="single" w:color="000000" w:sz="2" w:space="0"/>
              <w:right w:val="single" w:color="000000" w:sz="2" w:space="0"/>
            </w:tcBorders>
            <w:vAlign w:val="center"/>
          </w:tcPr>
          <w:p w14:paraId="7E772EB3">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1.</w:t>
            </w:r>
            <w:r>
              <w:rPr>
                <w:rFonts w:ascii="Times New Roman" w:hAnsi="Times New Roman" w:eastAsia="Times New Roman" w:cs="Times New Roman"/>
                <w:color w:val="000000"/>
                <w:spacing w:val="-2"/>
                <w:sz w:val="21"/>
                <w:szCs w:val="21"/>
              </w:rPr>
              <w:t>77</w:t>
            </w:r>
          </w:p>
        </w:tc>
        <w:tc>
          <w:tcPr>
            <w:tcW w:w="876" w:type="dxa"/>
            <w:tcBorders>
              <w:top w:val="single" w:color="000000" w:sz="2" w:space="0"/>
              <w:left w:val="single" w:color="000000" w:sz="2" w:space="0"/>
              <w:bottom w:val="single" w:color="000000" w:sz="2" w:space="0"/>
              <w:right w:val="single" w:color="000000" w:sz="2" w:space="0"/>
            </w:tcBorders>
            <w:vAlign w:val="center"/>
          </w:tcPr>
          <w:p w14:paraId="4298F88C">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1.0</w:t>
            </w:r>
          </w:p>
        </w:tc>
      </w:tr>
      <w:tr w14:paraId="777104EE">
        <w:tblPrEx>
          <w:tblCellMar>
            <w:top w:w="0" w:type="dxa"/>
            <w:left w:w="0" w:type="dxa"/>
            <w:bottom w:w="0" w:type="dxa"/>
            <w:right w:w="0" w:type="dxa"/>
          </w:tblCellMar>
        </w:tblPrEx>
        <w:trPr>
          <w:trHeight w:val="425" w:hRule="atLeast"/>
          <w:jc w:val="center"/>
        </w:trPr>
        <w:tc>
          <w:tcPr>
            <w:tcW w:w="652" w:type="dxa"/>
            <w:vMerge w:val="continue"/>
            <w:tcBorders>
              <w:top w:val="single" w:color="000000" w:sz="2" w:space="0"/>
              <w:left w:val="single" w:color="000000" w:sz="2" w:space="0"/>
              <w:bottom w:val="single" w:color="000000" w:sz="2" w:space="0"/>
              <w:right w:val="single" w:color="000000" w:sz="2" w:space="0"/>
            </w:tcBorders>
            <w:vAlign w:val="center"/>
          </w:tcPr>
          <w:p w14:paraId="4A00999A">
            <w:pPr>
              <w:keepNext w:val="0"/>
              <w:keepLines w:val="0"/>
              <w:pageBreakBefore w:val="0"/>
              <w:widowControl w:val="0"/>
              <w:kinsoku/>
              <w:wordWrap/>
              <w:overflowPunct/>
              <w:topLinePunct w:val="0"/>
              <w:bidi w:val="0"/>
              <w:adjustRightInd/>
              <w:snapToGrid/>
              <w:spacing w:line="0" w:lineRule="atLeast"/>
              <w:ind w:left="0" w:right="0" w:firstLine="0" w:firstLineChars="0"/>
              <w:jc w:val="center"/>
              <w:textAlignment w:val="auto"/>
              <w:rPr>
                <w:sz w:val="21"/>
                <w:szCs w:val="21"/>
              </w:rPr>
            </w:pPr>
          </w:p>
        </w:tc>
        <w:tc>
          <w:tcPr>
            <w:tcW w:w="859" w:type="dxa"/>
            <w:tcBorders>
              <w:top w:val="single" w:color="000000" w:sz="2" w:space="0"/>
              <w:left w:val="single" w:color="000000" w:sz="2" w:space="0"/>
              <w:bottom w:val="single" w:color="000000" w:sz="2" w:space="0"/>
              <w:right w:val="single" w:color="000000" w:sz="2" w:space="0"/>
            </w:tcBorders>
            <w:vAlign w:val="center"/>
          </w:tcPr>
          <w:p w14:paraId="7C2AEA73">
            <w:pPr>
              <w:keepNext w:val="0"/>
              <w:keepLines w:val="0"/>
              <w:pageBreakBefore w:val="0"/>
              <w:widowControl w:val="0"/>
              <w:kinsoku/>
              <w:wordWrap/>
              <w:overflowPunct/>
              <w:topLinePunct w:val="0"/>
              <w:autoSpaceDE w:val="0"/>
              <w:autoSpaceDN w:val="0"/>
              <w:bidi w:val="0"/>
              <w:adjustRightInd/>
              <w:snapToGrid/>
              <w:spacing w:after="0" w:line="0" w:lineRule="atLeast"/>
              <w:ind w:left="0" w:right="0" w:firstLine="0" w:firstLineChars="0"/>
              <w:jc w:val="center"/>
              <w:textAlignment w:val="auto"/>
              <w:rPr>
                <w:sz w:val="21"/>
                <w:szCs w:val="21"/>
              </w:rPr>
            </w:pPr>
            <w:r>
              <w:rPr>
                <w:rFonts w:ascii="宋体" w:hAnsi="宋体" w:eastAsia="宋体" w:cs="宋体"/>
                <w:color w:val="000000"/>
                <w:spacing w:val="-6"/>
                <w:sz w:val="21"/>
                <w:szCs w:val="21"/>
              </w:rPr>
              <w:t>钢管</w:t>
            </w:r>
          </w:p>
        </w:tc>
        <w:tc>
          <w:tcPr>
            <w:tcW w:w="972" w:type="dxa"/>
            <w:tcBorders>
              <w:top w:val="single" w:color="000000" w:sz="2" w:space="0"/>
              <w:left w:val="single" w:color="000000" w:sz="2" w:space="0"/>
              <w:bottom w:val="single" w:color="000000" w:sz="2" w:space="0"/>
              <w:right w:val="single" w:color="000000" w:sz="2" w:space="0"/>
            </w:tcBorders>
            <w:vAlign w:val="center"/>
          </w:tcPr>
          <w:p w14:paraId="628C531C">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5.</w:t>
            </w:r>
            <w:r>
              <w:rPr>
                <w:rFonts w:ascii="Times New Roman" w:hAnsi="Times New Roman" w:eastAsia="Times New Roman" w:cs="Times New Roman"/>
                <w:color w:val="000000"/>
                <w:spacing w:val="-2"/>
                <w:sz w:val="21"/>
                <w:szCs w:val="21"/>
              </w:rPr>
              <w:t>76</w:t>
            </w:r>
          </w:p>
        </w:tc>
        <w:tc>
          <w:tcPr>
            <w:tcW w:w="957" w:type="dxa"/>
            <w:tcBorders>
              <w:top w:val="single" w:color="000000" w:sz="2" w:space="0"/>
              <w:left w:val="single" w:color="000000" w:sz="2" w:space="0"/>
              <w:bottom w:val="single" w:color="000000" w:sz="2" w:space="0"/>
              <w:right w:val="single" w:color="000000" w:sz="2" w:space="0"/>
            </w:tcBorders>
            <w:vAlign w:val="center"/>
          </w:tcPr>
          <w:p w14:paraId="77292661">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82</w:t>
            </w:r>
            <w:r>
              <w:rPr>
                <w:rFonts w:ascii="Times New Roman" w:hAnsi="Times New Roman" w:eastAsia="Times New Roman" w:cs="Times New Roman"/>
                <w:color w:val="000000"/>
                <w:spacing w:val="-2"/>
                <w:sz w:val="21"/>
                <w:szCs w:val="21"/>
              </w:rPr>
              <w:t>.4</w:t>
            </w:r>
          </w:p>
        </w:tc>
        <w:tc>
          <w:tcPr>
            <w:tcW w:w="871" w:type="dxa"/>
            <w:tcBorders>
              <w:top w:val="single" w:color="000000" w:sz="2" w:space="0"/>
              <w:left w:val="single" w:color="000000" w:sz="2" w:space="0"/>
              <w:bottom w:val="single" w:color="000000" w:sz="2" w:space="0"/>
              <w:right w:val="single" w:color="000000" w:sz="2" w:space="0"/>
            </w:tcBorders>
            <w:vAlign w:val="center"/>
          </w:tcPr>
          <w:p w14:paraId="3FA54260">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3.1</w:t>
            </w:r>
          </w:p>
        </w:tc>
        <w:tc>
          <w:tcPr>
            <w:tcW w:w="756" w:type="dxa"/>
            <w:tcBorders>
              <w:top w:val="single" w:color="000000" w:sz="2" w:space="0"/>
              <w:left w:val="single" w:color="000000" w:sz="2" w:space="0"/>
              <w:bottom w:val="single" w:color="000000" w:sz="2" w:space="0"/>
              <w:right w:val="single" w:color="000000" w:sz="2" w:space="0"/>
            </w:tcBorders>
            <w:vAlign w:val="center"/>
          </w:tcPr>
          <w:p w14:paraId="3F551D46">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3"/>
                <w:sz w:val="21"/>
                <w:szCs w:val="21"/>
              </w:rPr>
              <w:t>14.5</w:t>
            </w:r>
          </w:p>
        </w:tc>
        <w:tc>
          <w:tcPr>
            <w:tcW w:w="701" w:type="dxa"/>
            <w:tcBorders>
              <w:top w:val="single" w:color="000000" w:sz="2" w:space="0"/>
              <w:left w:val="single" w:color="000000" w:sz="2" w:space="0"/>
              <w:bottom w:val="single" w:color="000000" w:sz="2" w:space="0"/>
              <w:right w:val="single" w:color="000000" w:sz="2" w:space="0"/>
            </w:tcBorders>
            <w:vAlign w:val="center"/>
          </w:tcPr>
          <w:p w14:paraId="7BF5C811">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57</w:t>
            </w:r>
            <w:r>
              <w:rPr>
                <w:rFonts w:ascii="Times New Roman" w:hAnsi="Times New Roman" w:eastAsia="Times New Roman" w:cs="Times New Roman"/>
                <w:color w:val="000000"/>
                <w:spacing w:val="-2"/>
                <w:sz w:val="21"/>
                <w:szCs w:val="21"/>
              </w:rPr>
              <w:t>.8</w:t>
            </w:r>
          </w:p>
        </w:tc>
        <w:tc>
          <w:tcPr>
            <w:tcW w:w="700" w:type="dxa"/>
            <w:tcBorders>
              <w:top w:val="single" w:color="000000" w:sz="2" w:space="0"/>
              <w:left w:val="single" w:color="000000" w:sz="2" w:space="0"/>
              <w:bottom w:val="single" w:color="000000" w:sz="2" w:space="0"/>
              <w:right w:val="single" w:color="000000" w:sz="2" w:space="0"/>
            </w:tcBorders>
            <w:vAlign w:val="center"/>
          </w:tcPr>
          <w:p w14:paraId="19A0B141">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5.</w:t>
            </w:r>
            <w:r>
              <w:rPr>
                <w:rFonts w:ascii="Times New Roman" w:hAnsi="Times New Roman" w:eastAsia="Times New Roman" w:cs="Times New Roman"/>
                <w:color w:val="000000"/>
                <w:spacing w:val="-2"/>
                <w:sz w:val="21"/>
                <w:szCs w:val="21"/>
              </w:rPr>
              <w:t>28</w:t>
            </w:r>
          </w:p>
        </w:tc>
        <w:tc>
          <w:tcPr>
            <w:tcW w:w="698" w:type="dxa"/>
            <w:tcBorders>
              <w:top w:val="single" w:color="000000" w:sz="2" w:space="0"/>
              <w:left w:val="single" w:color="000000" w:sz="2" w:space="0"/>
              <w:bottom w:val="single" w:color="000000" w:sz="2" w:space="0"/>
              <w:right w:val="single" w:color="000000" w:sz="2" w:space="0"/>
            </w:tcBorders>
            <w:vAlign w:val="center"/>
          </w:tcPr>
          <w:p w14:paraId="696EC583">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2.</w:t>
            </w:r>
            <w:r>
              <w:rPr>
                <w:rFonts w:ascii="Times New Roman" w:hAnsi="Times New Roman" w:eastAsia="Times New Roman" w:cs="Times New Roman"/>
                <w:color w:val="000000"/>
                <w:spacing w:val="-2"/>
                <w:sz w:val="21"/>
                <w:szCs w:val="21"/>
              </w:rPr>
              <w:t>75</w:t>
            </w:r>
          </w:p>
        </w:tc>
        <w:tc>
          <w:tcPr>
            <w:tcW w:w="703" w:type="dxa"/>
            <w:tcBorders>
              <w:top w:val="single" w:color="000000" w:sz="2" w:space="0"/>
              <w:left w:val="single" w:color="000000" w:sz="2" w:space="0"/>
              <w:bottom w:val="single" w:color="000000" w:sz="2" w:space="0"/>
              <w:right w:val="single" w:color="000000" w:sz="2" w:space="0"/>
            </w:tcBorders>
            <w:vAlign w:val="center"/>
          </w:tcPr>
          <w:p w14:paraId="6764A25B">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4"/>
                <w:sz w:val="21"/>
                <w:szCs w:val="21"/>
              </w:rPr>
              <w:t>1.</w:t>
            </w:r>
            <w:r>
              <w:rPr>
                <w:rFonts w:ascii="Times New Roman" w:hAnsi="Times New Roman" w:eastAsia="Times New Roman" w:cs="Times New Roman"/>
                <w:color w:val="000000"/>
                <w:spacing w:val="-2"/>
                <w:sz w:val="21"/>
                <w:szCs w:val="21"/>
              </w:rPr>
              <w:t>48</w:t>
            </w:r>
          </w:p>
        </w:tc>
        <w:tc>
          <w:tcPr>
            <w:tcW w:w="876" w:type="dxa"/>
            <w:tcBorders>
              <w:top w:val="single" w:color="000000" w:sz="2" w:space="0"/>
              <w:left w:val="single" w:color="000000" w:sz="2" w:space="0"/>
              <w:bottom w:val="single" w:color="000000" w:sz="2" w:space="0"/>
              <w:right w:val="single" w:color="000000" w:sz="2" w:space="0"/>
            </w:tcBorders>
            <w:vAlign w:val="center"/>
          </w:tcPr>
          <w:p w14:paraId="7F970002">
            <w:pPr>
              <w:keepNext w:val="0"/>
              <w:keepLines w:val="0"/>
              <w:pageBreakBefore w:val="0"/>
              <w:widowControl w:val="0"/>
              <w:kinsoku/>
              <w:wordWrap/>
              <w:overflowPunct/>
              <w:topLinePunct w:val="0"/>
              <w:bidi w:val="0"/>
              <w:adjustRightInd/>
              <w:snapToGrid/>
              <w:spacing w:after="0" w:line="0" w:lineRule="atLeast"/>
              <w:ind w:left="0" w:right="0" w:firstLine="0" w:firstLineChars="0"/>
              <w:jc w:val="center"/>
              <w:textAlignment w:val="auto"/>
              <w:rPr>
                <w:sz w:val="21"/>
                <w:szCs w:val="21"/>
              </w:rPr>
            </w:pPr>
            <w:r>
              <w:rPr>
                <w:rFonts w:ascii="Times New Roman" w:hAnsi="Times New Roman" w:eastAsia="Times New Roman" w:cs="Times New Roman"/>
                <w:color w:val="000000"/>
                <w:spacing w:val="-6"/>
                <w:sz w:val="21"/>
                <w:szCs w:val="21"/>
              </w:rPr>
              <w:t>11</w:t>
            </w:r>
            <w:r>
              <w:rPr>
                <w:rFonts w:ascii="Times New Roman" w:hAnsi="Times New Roman" w:eastAsia="Times New Roman" w:cs="Times New Roman"/>
                <w:color w:val="000000"/>
                <w:spacing w:val="-4"/>
                <w:sz w:val="21"/>
                <w:szCs w:val="21"/>
              </w:rPr>
              <w:t>.9</w:t>
            </w:r>
          </w:p>
        </w:tc>
      </w:tr>
    </w:tbl>
    <w:p w14:paraId="3E16D738">
      <w:pPr>
        <w:numPr>
          <w:ilvl w:val="0"/>
          <w:numId w:val="7"/>
        </w:numPr>
        <w:jc w:val="left"/>
        <w:rPr>
          <w:rFonts w:hint="eastAsia" w:cs="Times New Roman"/>
          <w:b/>
          <w:bCs/>
          <w:lang w:val="en-US" w:eastAsia="zh-CN"/>
        </w:rPr>
      </w:pPr>
      <w:r>
        <w:rPr>
          <w:rFonts w:hint="eastAsia" w:cs="Times New Roman"/>
          <w:b/>
          <w:bCs/>
          <w:lang w:val="en-US" w:eastAsia="zh-CN"/>
        </w:rPr>
        <w:t>污染物控制措施</w:t>
      </w:r>
    </w:p>
    <w:p w14:paraId="1967FA3A">
      <w:pPr>
        <w:bidi w:val="0"/>
        <w:rPr>
          <w:rFonts w:hint="eastAsia"/>
          <w:lang w:val="en-US" w:eastAsia="zh-CN"/>
        </w:rPr>
      </w:pPr>
      <w:r>
        <w:rPr>
          <w:rFonts w:hint="eastAsia"/>
          <w:lang w:val="en-US" w:eastAsia="zh-CN"/>
        </w:rPr>
        <w:t>热轧工序（含热处理和表面机械处理）污染源及污染控制见表4-12，冷轧工序（含热处理）污染源及污染物控制见表4-13。</w:t>
      </w:r>
    </w:p>
    <w:p w14:paraId="15CDB47D">
      <w:pPr>
        <w:bidi w:val="0"/>
        <w:ind w:left="0" w:leftChars="0" w:firstLine="0" w:firstLineChars="0"/>
        <w:jc w:val="center"/>
        <w:rPr>
          <w:rFonts w:hint="eastAsia"/>
          <w:b/>
          <w:bCs/>
          <w:lang w:val="en-US" w:eastAsia="zh-CN"/>
        </w:rPr>
      </w:pPr>
      <w:r>
        <w:rPr>
          <w:rFonts w:hint="eastAsia"/>
          <w:b/>
          <w:bCs/>
          <w:lang w:val="en-US" w:eastAsia="zh-CN"/>
        </w:rPr>
        <w:t>表4-12热轧工序（含热处理和表面机械处理）污染源及污染控制</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696"/>
        <w:gridCol w:w="3438"/>
        <w:gridCol w:w="1694"/>
      </w:tblGrid>
      <w:tr w14:paraId="2B2F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1164516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生产工艺</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88256C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污染源</w:t>
            </w:r>
          </w:p>
        </w:tc>
        <w:tc>
          <w:tcPr>
            <w:tcW w:w="3521" w:type="dxa"/>
            <w:tcBorders>
              <w:top w:val="single" w:color="auto" w:sz="4" w:space="0"/>
              <w:left w:val="single" w:color="auto" w:sz="4" w:space="0"/>
              <w:bottom w:val="single" w:color="auto" w:sz="4" w:space="0"/>
              <w:right w:val="single" w:color="auto" w:sz="4" w:space="0"/>
            </w:tcBorders>
            <w:noWrap w:val="0"/>
            <w:vAlign w:val="center"/>
          </w:tcPr>
          <w:p w14:paraId="0255633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主要污染物</w:t>
            </w:r>
          </w:p>
        </w:tc>
        <w:tc>
          <w:tcPr>
            <w:tcW w:w="1732" w:type="dxa"/>
            <w:tcBorders>
              <w:top w:val="single" w:color="auto" w:sz="4" w:space="0"/>
              <w:left w:val="single" w:color="auto" w:sz="4" w:space="0"/>
              <w:bottom w:val="single" w:color="auto" w:sz="4" w:space="0"/>
              <w:right w:val="single" w:color="auto" w:sz="4" w:space="0"/>
            </w:tcBorders>
            <w:noWrap w:val="0"/>
            <w:vAlign w:val="center"/>
          </w:tcPr>
          <w:p w14:paraId="7000347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污染物控制</w:t>
            </w:r>
          </w:p>
        </w:tc>
      </w:tr>
      <w:tr w14:paraId="74E9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510D199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钢坯加热</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305B170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加热炉</w:t>
            </w:r>
          </w:p>
        </w:tc>
        <w:tc>
          <w:tcPr>
            <w:tcW w:w="3521" w:type="dxa"/>
            <w:tcBorders>
              <w:top w:val="single" w:color="auto" w:sz="4" w:space="0"/>
              <w:left w:val="single" w:color="auto" w:sz="4" w:space="0"/>
              <w:bottom w:val="single" w:color="auto" w:sz="4" w:space="0"/>
              <w:right w:val="single" w:color="auto" w:sz="4" w:space="0"/>
            </w:tcBorders>
            <w:noWrap w:val="0"/>
            <w:vAlign w:val="center"/>
          </w:tcPr>
          <w:p w14:paraId="65EF938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颗粒物、二氧化硫、氮氧化物</w:t>
            </w:r>
          </w:p>
        </w:tc>
        <w:tc>
          <w:tcPr>
            <w:tcW w:w="1732" w:type="dxa"/>
            <w:tcBorders>
              <w:top w:val="single" w:color="auto" w:sz="4" w:space="0"/>
              <w:left w:val="single" w:color="auto" w:sz="4" w:space="0"/>
              <w:bottom w:val="single" w:color="auto" w:sz="4" w:space="0"/>
              <w:right w:val="single" w:color="auto" w:sz="4" w:space="0"/>
            </w:tcBorders>
            <w:noWrap w:val="0"/>
            <w:vAlign w:val="center"/>
          </w:tcPr>
          <w:p w14:paraId="352B916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清洁燃料</w:t>
            </w:r>
          </w:p>
        </w:tc>
      </w:tr>
      <w:tr w14:paraId="75A3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0CD3B2F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轧制废气</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161F0A4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精轧机</w:t>
            </w:r>
          </w:p>
        </w:tc>
        <w:tc>
          <w:tcPr>
            <w:tcW w:w="3521" w:type="dxa"/>
            <w:tcBorders>
              <w:top w:val="single" w:color="auto" w:sz="4" w:space="0"/>
              <w:left w:val="single" w:color="auto" w:sz="4" w:space="0"/>
              <w:bottom w:val="single" w:color="auto" w:sz="4" w:space="0"/>
              <w:right w:val="single" w:color="auto" w:sz="4" w:space="0"/>
            </w:tcBorders>
            <w:noWrap w:val="0"/>
            <w:vAlign w:val="center"/>
          </w:tcPr>
          <w:p w14:paraId="4B28E85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1732" w:type="dxa"/>
            <w:tcBorders>
              <w:top w:val="single" w:color="auto" w:sz="4" w:space="0"/>
              <w:left w:val="single" w:color="auto" w:sz="4" w:space="0"/>
              <w:bottom w:val="single" w:color="auto" w:sz="4" w:space="0"/>
              <w:right w:val="single" w:color="auto" w:sz="4" w:space="0"/>
            </w:tcBorders>
            <w:noWrap w:val="0"/>
            <w:vAlign w:val="center"/>
          </w:tcPr>
          <w:p w14:paraId="0A710EC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塑烧板除尘器</w:t>
            </w:r>
          </w:p>
        </w:tc>
      </w:tr>
      <w:tr w14:paraId="0C4B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152AFEA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抛丸、喷丸</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25FA86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喷丸</w:t>
            </w:r>
          </w:p>
        </w:tc>
        <w:tc>
          <w:tcPr>
            <w:tcW w:w="3521" w:type="dxa"/>
            <w:tcBorders>
              <w:top w:val="single" w:color="auto" w:sz="4" w:space="0"/>
              <w:left w:val="single" w:color="auto" w:sz="4" w:space="0"/>
              <w:bottom w:val="single" w:color="auto" w:sz="4" w:space="0"/>
              <w:right w:val="single" w:color="auto" w:sz="4" w:space="0"/>
            </w:tcBorders>
            <w:noWrap w:val="0"/>
            <w:vAlign w:val="center"/>
          </w:tcPr>
          <w:p w14:paraId="026C727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1732" w:type="dxa"/>
            <w:tcBorders>
              <w:top w:val="single" w:color="auto" w:sz="4" w:space="0"/>
              <w:left w:val="single" w:color="auto" w:sz="4" w:space="0"/>
              <w:bottom w:val="single" w:color="auto" w:sz="4" w:space="0"/>
              <w:right w:val="single" w:color="auto" w:sz="4" w:space="0"/>
            </w:tcBorders>
            <w:noWrap w:val="0"/>
            <w:vAlign w:val="center"/>
          </w:tcPr>
          <w:p w14:paraId="3C58057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r w14:paraId="34C8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0998792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表面修磨</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4EAEE3C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修磨机</w:t>
            </w:r>
          </w:p>
        </w:tc>
        <w:tc>
          <w:tcPr>
            <w:tcW w:w="3521" w:type="dxa"/>
            <w:tcBorders>
              <w:top w:val="single" w:color="auto" w:sz="4" w:space="0"/>
              <w:left w:val="single" w:color="auto" w:sz="4" w:space="0"/>
              <w:bottom w:val="single" w:color="auto" w:sz="4" w:space="0"/>
              <w:right w:val="single" w:color="auto" w:sz="4" w:space="0"/>
            </w:tcBorders>
            <w:noWrap w:val="0"/>
            <w:vAlign w:val="center"/>
          </w:tcPr>
          <w:p w14:paraId="334E559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1732" w:type="dxa"/>
            <w:tcBorders>
              <w:top w:val="single" w:color="auto" w:sz="4" w:space="0"/>
              <w:left w:val="single" w:color="auto" w:sz="4" w:space="0"/>
              <w:bottom w:val="single" w:color="auto" w:sz="4" w:space="0"/>
              <w:right w:val="single" w:color="auto" w:sz="4" w:space="0"/>
            </w:tcBorders>
            <w:noWrap w:val="0"/>
            <w:vAlign w:val="center"/>
          </w:tcPr>
          <w:p w14:paraId="6F94E1A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bl>
    <w:p w14:paraId="5461B427">
      <w:pPr>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jc w:val="center"/>
        <w:textAlignment w:val="auto"/>
        <w:rPr>
          <w:rFonts w:hint="default"/>
          <w:b/>
          <w:bCs/>
          <w:lang w:val="en-US" w:eastAsia="zh-CN"/>
        </w:rPr>
      </w:pPr>
      <w:r>
        <w:rPr>
          <w:rFonts w:hint="eastAsia"/>
          <w:b/>
          <w:bCs/>
          <w:lang w:val="en-US" w:eastAsia="zh-CN"/>
        </w:rPr>
        <w:t>表4-13冷轧工序（含热处理）污染源及污染物控制</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1722"/>
        <w:gridCol w:w="3526"/>
        <w:gridCol w:w="1769"/>
      </w:tblGrid>
      <w:tr w14:paraId="10AE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top"/>
          </w:tcPr>
          <w:p w14:paraId="3ED2A9A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生产工艺</w:t>
            </w:r>
          </w:p>
        </w:tc>
        <w:tc>
          <w:tcPr>
            <w:tcW w:w="1761" w:type="dxa"/>
            <w:noWrap w:val="0"/>
            <w:vAlign w:val="top"/>
          </w:tcPr>
          <w:p w14:paraId="35C2419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污染源</w:t>
            </w:r>
          </w:p>
        </w:tc>
        <w:tc>
          <w:tcPr>
            <w:tcW w:w="3612" w:type="dxa"/>
            <w:noWrap w:val="0"/>
            <w:vAlign w:val="top"/>
          </w:tcPr>
          <w:p w14:paraId="4528C83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主要污染物</w:t>
            </w:r>
          </w:p>
        </w:tc>
        <w:tc>
          <w:tcPr>
            <w:tcW w:w="1809" w:type="dxa"/>
            <w:noWrap w:val="0"/>
            <w:vAlign w:val="top"/>
          </w:tcPr>
          <w:p w14:paraId="0F33A94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污染物控制措施</w:t>
            </w:r>
          </w:p>
        </w:tc>
      </w:tr>
      <w:tr w14:paraId="0342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14:paraId="5D00953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酸洗</w:t>
            </w:r>
          </w:p>
        </w:tc>
        <w:tc>
          <w:tcPr>
            <w:tcW w:w="1761" w:type="dxa"/>
            <w:noWrap w:val="0"/>
            <w:vAlign w:val="center"/>
          </w:tcPr>
          <w:p w14:paraId="55151E0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酸洗机组</w:t>
            </w:r>
          </w:p>
        </w:tc>
        <w:tc>
          <w:tcPr>
            <w:tcW w:w="3612" w:type="dxa"/>
            <w:noWrap w:val="0"/>
            <w:vAlign w:val="center"/>
          </w:tcPr>
          <w:p w14:paraId="7DBAEBC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硫酸雾、硝酸雾（NOx）、</w:t>
            </w:r>
          </w:p>
          <w:p w14:paraId="448CCC9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氟化氢、盐酸雾、铬酸雾</w:t>
            </w:r>
          </w:p>
        </w:tc>
        <w:tc>
          <w:tcPr>
            <w:tcW w:w="1809" w:type="dxa"/>
            <w:noWrap w:val="0"/>
            <w:vAlign w:val="center"/>
          </w:tcPr>
          <w:p w14:paraId="1E240E0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碱喷淋或水喷淋</w:t>
            </w:r>
          </w:p>
        </w:tc>
      </w:tr>
      <w:tr w14:paraId="6AE2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14:paraId="228006D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碱洗</w:t>
            </w:r>
          </w:p>
        </w:tc>
        <w:tc>
          <w:tcPr>
            <w:tcW w:w="1761" w:type="dxa"/>
            <w:noWrap w:val="0"/>
            <w:vAlign w:val="center"/>
          </w:tcPr>
          <w:p w14:paraId="77AD181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脱脂清洗机组</w:t>
            </w:r>
          </w:p>
        </w:tc>
        <w:tc>
          <w:tcPr>
            <w:tcW w:w="3612" w:type="dxa"/>
            <w:noWrap w:val="0"/>
            <w:vAlign w:val="center"/>
          </w:tcPr>
          <w:p w14:paraId="435D86F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碱雾</w:t>
            </w:r>
          </w:p>
        </w:tc>
        <w:tc>
          <w:tcPr>
            <w:tcW w:w="1809" w:type="dxa"/>
            <w:noWrap w:val="0"/>
            <w:vAlign w:val="center"/>
          </w:tcPr>
          <w:p w14:paraId="2A7EA71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水喷淋</w:t>
            </w:r>
          </w:p>
        </w:tc>
      </w:tr>
      <w:tr w14:paraId="3BC5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14:paraId="7162BF5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钝化</w:t>
            </w:r>
          </w:p>
        </w:tc>
        <w:tc>
          <w:tcPr>
            <w:tcW w:w="1761" w:type="dxa"/>
            <w:noWrap w:val="0"/>
            <w:vAlign w:val="center"/>
          </w:tcPr>
          <w:p w14:paraId="58B2E7F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钝化槽</w:t>
            </w:r>
          </w:p>
        </w:tc>
        <w:tc>
          <w:tcPr>
            <w:tcW w:w="3612" w:type="dxa"/>
            <w:noWrap w:val="0"/>
            <w:vAlign w:val="center"/>
          </w:tcPr>
          <w:p w14:paraId="199109C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铬酸雾</w:t>
            </w:r>
          </w:p>
        </w:tc>
        <w:tc>
          <w:tcPr>
            <w:tcW w:w="1809" w:type="dxa"/>
            <w:noWrap w:val="0"/>
            <w:vAlign w:val="center"/>
          </w:tcPr>
          <w:p w14:paraId="6985FE9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水喷淋</w:t>
            </w:r>
          </w:p>
        </w:tc>
      </w:tr>
      <w:tr w14:paraId="5B42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14:paraId="46C5076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轧制废气</w:t>
            </w:r>
          </w:p>
        </w:tc>
        <w:tc>
          <w:tcPr>
            <w:tcW w:w="1761" w:type="dxa"/>
            <w:noWrap w:val="0"/>
            <w:vAlign w:val="center"/>
          </w:tcPr>
          <w:p w14:paraId="0137CC0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轧机</w:t>
            </w:r>
          </w:p>
        </w:tc>
        <w:tc>
          <w:tcPr>
            <w:tcW w:w="3612" w:type="dxa"/>
            <w:noWrap w:val="0"/>
            <w:vAlign w:val="center"/>
          </w:tcPr>
          <w:p w14:paraId="393B09D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油雾</w:t>
            </w:r>
          </w:p>
        </w:tc>
        <w:tc>
          <w:tcPr>
            <w:tcW w:w="1809" w:type="dxa"/>
            <w:noWrap w:val="0"/>
            <w:vAlign w:val="center"/>
          </w:tcPr>
          <w:p w14:paraId="647D6EB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油雾净化装置</w:t>
            </w:r>
          </w:p>
        </w:tc>
      </w:tr>
      <w:tr w14:paraId="663B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14:paraId="16A774F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热处理</w:t>
            </w:r>
          </w:p>
        </w:tc>
        <w:tc>
          <w:tcPr>
            <w:tcW w:w="1761" w:type="dxa"/>
            <w:noWrap w:val="0"/>
            <w:vAlign w:val="center"/>
          </w:tcPr>
          <w:p w14:paraId="42680CA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热处理炉</w:t>
            </w:r>
          </w:p>
        </w:tc>
        <w:tc>
          <w:tcPr>
            <w:tcW w:w="3612" w:type="dxa"/>
            <w:noWrap w:val="0"/>
            <w:vAlign w:val="center"/>
          </w:tcPr>
          <w:p w14:paraId="56EB514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颗粒物、二氧化硫、氮氧化物</w:t>
            </w:r>
          </w:p>
        </w:tc>
        <w:tc>
          <w:tcPr>
            <w:tcW w:w="1809" w:type="dxa"/>
            <w:noWrap w:val="0"/>
            <w:vAlign w:val="center"/>
          </w:tcPr>
          <w:p w14:paraId="30A3B1A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清洁燃料</w:t>
            </w:r>
          </w:p>
        </w:tc>
      </w:tr>
      <w:tr w14:paraId="7230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14:paraId="4433683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精整</w:t>
            </w:r>
          </w:p>
        </w:tc>
        <w:tc>
          <w:tcPr>
            <w:tcW w:w="1761" w:type="dxa"/>
            <w:noWrap w:val="0"/>
            <w:vAlign w:val="center"/>
          </w:tcPr>
          <w:p w14:paraId="0854877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精整</w:t>
            </w:r>
          </w:p>
        </w:tc>
        <w:tc>
          <w:tcPr>
            <w:tcW w:w="3612" w:type="dxa"/>
            <w:noWrap w:val="0"/>
            <w:vAlign w:val="center"/>
          </w:tcPr>
          <w:p w14:paraId="49CE97B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w:t>
            </w:r>
          </w:p>
        </w:tc>
        <w:tc>
          <w:tcPr>
            <w:tcW w:w="1809" w:type="dxa"/>
            <w:noWrap w:val="0"/>
            <w:vAlign w:val="center"/>
          </w:tcPr>
          <w:p w14:paraId="72B5185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袋式除尘器</w:t>
            </w:r>
          </w:p>
        </w:tc>
      </w:tr>
      <w:tr w14:paraId="5033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14:paraId="2D0BB8B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酸再生系统</w:t>
            </w:r>
          </w:p>
        </w:tc>
        <w:tc>
          <w:tcPr>
            <w:tcW w:w="1761" w:type="dxa"/>
            <w:noWrap w:val="0"/>
            <w:vAlign w:val="center"/>
          </w:tcPr>
          <w:p w14:paraId="02706C4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酸再生系统</w:t>
            </w:r>
          </w:p>
        </w:tc>
        <w:tc>
          <w:tcPr>
            <w:tcW w:w="3612" w:type="dxa"/>
            <w:noWrap w:val="0"/>
            <w:vAlign w:val="center"/>
          </w:tcPr>
          <w:p w14:paraId="7F8DF63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颗粒物、盐酸雾、硝酸雾（NOx）、氟化氢、</w:t>
            </w:r>
          </w:p>
        </w:tc>
        <w:tc>
          <w:tcPr>
            <w:tcW w:w="1809" w:type="dxa"/>
            <w:noWrap w:val="0"/>
            <w:vAlign w:val="center"/>
          </w:tcPr>
          <w:p w14:paraId="5D4ECD9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酸回收装置</w:t>
            </w:r>
          </w:p>
        </w:tc>
      </w:tr>
      <w:tr w14:paraId="331F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14:paraId="01A9D40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涂层系统</w:t>
            </w:r>
          </w:p>
        </w:tc>
        <w:tc>
          <w:tcPr>
            <w:tcW w:w="1761" w:type="dxa"/>
            <w:noWrap w:val="0"/>
            <w:vAlign w:val="center"/>
          </w:tcPr>
          <w:p w14:paraId="3B4A47D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涂层机组</w:t>
            </w:r>
          </w:p>
        </w:tc>
        <w:tc>
          <w:tcPr>
            <w:tcW w:w="3612" w:type="dxa"/>
            <w:noWrap w:val="0"/>
            <w:vAlign w:val="center"/>
          </w:tcPr>
          <w:p w14:paraId="74FB525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苯、甲苯、二甲苯、非甲烷总烃</w:t>
            </w:r>
          </w:p>
        </w:tc>
        <w:tc>
          <w:tcPr>
            <w:tcW w:w="1809" w:type="dxa"/>
            <w:noWrap w:val="0"/>
            <w:vAlign w:val="center"/>
          </w:tcPr>
          <w:p w14:paraId="4CC692D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1"/>
                <w:szCs w:val="21"/>
              </w:rPr>
            </w:pPr>
            <w:r>
              <w:rPr>
                <w:rFonts w:hint="eastAsia" w:ascii="宋体" w:hAnsi="宋体" w:cs="宋体"/>
                <w:sz w:val="21"/>
                <w:szCs w:val="21"/>
              </w:rPr>
              <w:t>焚烧或吸附等</w:t>
            </w:r>
          </w:p>
        </w:tc>
      </w:tr>
    </w:tbl>
    <w:p w14:paraId="4B6928CF">
      <w:pPr>
        <w:pStyle w:val="4"/>
        <w:bidi w:val="0"/>
        <w:rPr>
          <w:rFonts w:hint="eastAsia"/>
          <w:lang w:val="en-US" w:eastAsia="zh-CN"/>
        </w:rPr>
      </w:pPr>
      <w:r>
        <w:rPr>
          <w:rFonts w:hint="eastAsia"/>
          <w:lang w:val="en-US" w:eastAsia="zh-CN"/>
        </w:rPr>
        <w:t>4.1.6焦化</w:t>
      </w:r>
    </w:p>
    <w:p w14:paraId="22D88779">
      <w:pPr>
        <w:numPr>
          <w:ilvl w:val="0"/>
          <w:numId w:val="8"/>
        </w:numPr>
        <w:bidi w:val="0"/>
        <w:rPr>
          <w:rFonts w:hint="eastAsia"/>
          <w:b/>
          <w:bCs/>
          <w:lang w:val="en-US" w:eastAsia="zh-CN"/>
        </w:rPr>
      </w:pPr>
      <w:r>
        <w:rPr>
          <w:rFonts w:hint="eastAsia"/>
          <w:b/>
          <w:bCs/>
          <w:lang w:val="en-US" w:eastAsia="zh-CN"/>
        </w:rPr>
        <w:t>焦化工艺</w:t>
      </w:r>
    </w:p>
    <w:p w14:paraId="4926754E">
      <w:pPr>
        <w:bidi w:val="0"/>
        <w:rPr>
          <w:rFonts w:hint="eastAsia"/>
          <w:lang w:val="en-US" w:eastAsia="zh-CN"/>
        </w:rPr>
      </w:pPr>
      <w:r>
        <w:rPr>
          <w:rFonts w:hint="eastAsia"/>
          <w:lang w:val="en-US" w:eastAsia="zh-CN"/>
        </w:rPr>
        <w:t>钢铁行业焦化工艺是指将配比好的煤粉碎为合格煤粒，装入焦炉炭化室高温干馏生成焦炭，再经熄焦、筛焦得到合格冶金焦，并对荒煤气进行净化的生产过程。</w:t>
      </w:r>
    </w:p>
    <w:p w14:paraId="40C86DA9">
      <w:pPr>
        <w:bidi w:val="0"/>
        <w:rPr>
          <w:rFonts w:hint="eastAsia"/>
          <w:lang w:val="en-US" w:eastAsia="zh-CN"/>
        </w:rPr>
      </w:pPr>
      <w:r>
        <w:rPr>
          <w:rFonts w:hint="eastAsia"/>
          <w:lang w:val="en-US" w:eastAsia="zh-CN"/>
        </w:rPr>
        <w:t>焦化工艺过程由备煤、炼焦、化产（煤气净化及化学产品回收）三部分组成，所用的原料、辅料和燃料包括煤、化学品（洗油、脱硫剂、硫酸和碱）和煤气。</w:t>
      </w:r>
    </w:p>
    <w:p w14:paraId="04F8B3B6">
      <w:pPr>
        <w:bidi w:val="0"/>
        <w:rPr>
          <w:rFonts w:hint="eastAsia"/>
          <w:lang w:val="en-US" w:eastAsia="zh-CN"/>
        </w:rPr>
      </w:pPr>
      <w:r>
        <w:rPr>
          <w:rFonts w:hint="eastAsia"/>
          <w:lang w:val="en-US" w:eastAsia="zh-CN"/>
        </w:rPr>
        <w:t>焦化工艺所用的焦炉主要有顶装焦炉、捣固焦炉和直立式炭化炉。钢铁行业炼焦主要采用顶装焦炉和捣固焦炉，其中顶装焦炉占实际生产焦炉数量的90%以上。焦化工艺生产流程及产污环节见图4-8。</w:t>
      </w:r>
    </w:p>
    <w:p w14:paraId="0043C76C">
      <w:pPr>
        <w:numPr>
          <w:ilvl w:val="0"/>
          <w:numId w:val="8"/>
        </w:numPr>
        <w:bidi w:val="0"/>
        <w:ind w:left="0" w:leftChars="0" w:firstLine="482" w:firstLineChars="200"/>
        <w:rPr>
          <w:rFonts w:hint="eastAsia"/>
          <w:b/>
          <w:bCs/>
          <w:lang w:val="en-US" w:eastAsia="zh-CN"/>
        </w:rPr>
      </w:pPr>
      <w:r>
        <w:rPr>
          <w:rFonts w:hint="eastAsia"/>
          <w:b/>
          <w:bCs/>
          <w:lang w:val="en-US" w:eastAsia="zh-CN"/>
        </w:rPr>
        <w:t>污染物排放特征</w:t>
      </w:r>
    </w:p>
    <w:p w14:paraId="519D8B28">
      <w:pPr>
        <w:bidi w:val="0"/>
        <w:rPr>
          <w:rFonts w:hint="eastAsia" w:cs="Times New Roman"/>
          <w:lang w:val="en-US" w:eastAsia="zh-CN"/>
        </w:rPr>
      </w:pPr>
      <w:r>
        <w:rPr>
          <w:rFonts w:hint="eastAsia" w:cs="Times New Roman"/>
          <w:lang w:val="en-US" w:eastAsia="zh-CN"/>
        </w:rPr>
        <w:t>焦化工艺产生的大气污染物中含有颗粒物和多种无机、有机污染物。颗粒物主要为煤尘和焦尘，无机类污染物包括硫化氢、氰化氢、氨、二氧化碳等，有机类污染物包括苯类、酚类、多环和杂环芳烃等，多属有毒有害物质，特别是以苯并[a]芘为代表的多环芳烃大多是致癌物质，会对环境和人体健康造成影响。焦化工艺主要大气污染物及来源见表4-14。</w:t>
      </w:r>
    </w:p>
    <w:p w14:paraId="707B0A23">
      <w:pPr>
        <w:bidi w:val="0"/>
        <w:ind w:left="0" w:leftChars="0" w:firstLine="0" w:firstLineChars="0"/>
        <w:jc w:val="center"/>
        <w:rPr>
          <w:b/>
          <w:bCs/>
        </w:rPr>
      </w:pPr>
      <w:r>
        <w:rPr>
          <w:rFonts w:hint="eastAsia"/>
          <w:b/>
          <w:bCs/>
          <w:lang w:val="en-US" w:eastAsia="zh-CN"/>
        </w:rPr>
        <w:t>表4-14</w:t>
      </w:r>
      <w:r>
        <w:rPr>
          <w:b/>
          <w:bCs/>
        </w:rPr>
        <w:t>焦化工艺主要大气污染物及来源</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4208"/>
        <w:gridCol w:w="2841"/>
      </w:tblGrid>
      <w:tr w14:paraId="2205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473" w:type="dxa"/>
            <w:vAlign w:val="center"/>
          </w:tcPr>
          <w:p w14:paraId="2CE3804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工序</w:t>
            </w:r>
          </w:p>
        </w:tc>
        <w:tc>
          <w:tcPr>
            <w:tcW w:w="4208" w:type="dxa"/>
            <w:vAlign w:val="center"/>
          </w:tcPr>
          <w:p w14:paraId="1872D5E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产污节点</w:t>
            </w:r>
          </w:p>
        </w:tc>
        <w:tc>
          <w:tcPr>
            <w:tcW w:w="2841" w:type="dxa"/>
            <w:vAlign w:val="center"/>
          </w:tcPr>
          <w:p w14:paraId="1EBC7B4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主要污染物</w:t>
            </w:r>
          </w:p>
        </w:tc>
      </w:tr>
      <w:tr w14:paraId="085F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restart"/>
            <w:vAlign w:val="center"/>
          </w:tcPr>
          <w:p w14:paraId="30969EEA">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备煤工序</w:t>
            </w:r>
          </w:p>
        </w:tc>
        <w:tc>
          <w:tcPr>
            <w:tcW w:w="4208" w:type="dxa"/>
            <w:vAlign w:val="center"/>
          </w:tcPr>
          <w:p w14:paraId="7923A8A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精煤堆存、装卸</w:t>
            </w:r>
          </w:p>
        </w:tc>
        <w:tc>
          <w:tcPr>
            <w:tcW w:w="2841" w:type="dxa"/>
            <w:vAlign w:val="center"/>
          </w:tcPr>
          <w:p w14:paraId="660F223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r>
      <w:tr w14:paraId="31FD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continue"/>
            <w:vAlign w:val="center"/>
          </w:tcPr>
          <w:p w14:paraId="273335C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p>
        </w:tc>
        <w:tc>
          <w:tcPr>
            <w:tcW w:w="4208" w:type="dxa"/>
            <w:vAlign w:val="center"/>
          </w:tcPr>
          <w:p w14:paraId="18538A2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精煤破碎、转运</w:t>
            </w:r>
          </w:p>
        </w:tc>
        <w:tc>
          <w:tcPr>
            <w:tcW w:w="2841" w:type="dxa"/>
            <w:vAlign w:val="center"/>
          </w:tcPr>
          <w:p w14:paraId="67A6FDE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r>
      <w:tr w14:paraId="647B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Align w:val="center"/>
          </w:tcPr>
          <w:p w14:paraId="34E8AC3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装煤工序</w:t>
            </w:r>
          </w:p>
        </w:tc>
        <w:tc>
          <w:tcPr>
            <w:tcW w:w="4208" w:type="dxa"/>
            <w:vAlign w:val="center"/>
          </w:tcPr>
          <w:p w14:paraId="50D944D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装煤孔、上升管、装煤风机放散管等处逸散</w:t>
            </w:r>
          </w:p>
        </w:tc>
        <w:tc>
          <w:tcPr>
            <w:tcW w:w="2841" w:type="dxa"/>
            <w:vAlign w:val="center"/>
          </w:tcPr>
          <w:p w14:paraId="2D82944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颗粒物、PAH、BSO、H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S、HCN、CO、C</w:t>
            </w:r>
            <w:r>
              <w:rPr>
                <w:rFonts w:hint="default" w:ascii="Times New Roman" w:hAnsi="Times New Roman" w:eastAsia="宋体" w:cs="Times New Roman"/>
                <w:sz w:val="21"/>
                <w:szCs w:val="21"/>
                <w:vertAlign w:val="subscript"/>
                <w:lang w:val="en-US" w:eastAsia="zh-CN"/>
              </w:rPr>
              <w:t>m</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n</w:t>
            </w:r>
          </w:p>
        </w:tc>
      </w:tr>
      <w:tr w14:paraId="47A2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restart"/>
            <w:vAlign w:val="center"/>
          </w:tcPr>
          <w:p w14:paraId="657CB26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炼焦工序</w:t>
            </w:r>
          </w:p>
        </w:tc>
        <w:tc>
          <w:tcPr>
            <w:tcW w:w="4208" w:type="dxa"/>
            <w:vAlign w:val="center"/>
          </w:tcPr>
          <w:p w14:paraId="2ADF943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焦炉本体的装煤孔盖、炉门、上升管盖、炉墙等处泄漏</w:t>
            </w:r>
          </w:p>
        </w:tc>
        <w:tc>
          <w:tcPr>
            <w:tcW w:w="2841" w:type="dxa"/>
            <w:vAlign w:val="center"/>
          </w:tcPr>
          <w:p w14:paraId="0D9D787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颗粒物、PAH、BSO、S</w:t>
            </w:r>
            <w:r>
              <w:rPr>
                <w:rFonts w:hint="eastAsia"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S、NH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、CO</w:t>
            </w:r>
          </w:p>
        </w:tc>
      </w:tr>
      <w:tr w14:paraId="2ACD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continue"/>
            <w:vAlign w:val="center"/>
          </w:tcPr>
          <w:p w14:paraId="5B96BE2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p>
        </w:tc>
        <w:tc>
          <w:tcPr>
            <w:tcW w:w="4208" w:type="dxa"/>
            <w:vAlign w:val="center"/>
          </w:tcPr>
          <w:p w14:paraId="5894B812">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焦炉燃烧废气</w:t>
            </w:r>
          </w:p>
        </w:tc>
        <w:tc>
          <w:tcPr>
            <w:tcW w:w="2841" w:type="dxa"/>
            <w:vAlign w:val="center"/>
          </w:tcPr>
          <w:p w14:paraId="3CC2668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颗粒物、S</w:t>
            </w:r>
            <w:r>
              <w:rPr>
                <w:rFonts w:hint="eastAsia"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、NOx</w:t>
            </w:r>
          </w:p>
        </w:tc>
      </w:tr>
      <w:tr w14:paraId="7B0E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Align w:val="center"/>
          </w:tcPr>
          <w:p w14:paraId="6D3E791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推焦运焦工序</w:t>
            </w:r>
          </w:p>
        </w:tc>
        <w:tc>
          <w:tcPr>
            <w:tcW w:w="4208" w:type="dxa"/>
            <w:vAlign w:val="center"/>
          </w:tcPr>
          <w:p w14:paraId="17147C8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炉门、推焦车、拦焦车、熄焦车、上升管、推焦风机放散管等处逸散</w:t>
            </w:r>
          </w:p>
        </w:tc>
        <w:tc>
          <w:tcPr>
            <w:tcW w:w="2841" w:type="dxa"/>
            <w:vAlign w:val="center"/>
          </w:tcPr>
          <w:p w14:paraId="7DA0F0D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颗粒物、S</w:t>
            </w:r>
            <w:r>
              <w:rPr>
                <w:rFonts w:hint="eastAsia"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、PAH、H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S、HCN</w:t>
            </w:r>
          </w:p>
        </w:tc>
      </w:tr>
      <w:tr w14:paraId="36E1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restart"/>
            <w:vAlign w:val="center"/>
          </w:tcPr>
          <w:p w14:paraId="0303CC7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熄焦工序</w:t>
            </w:r>
          </w:p>
          <w:p w14:paraId="7FAC514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p>
        </w:tc>
        <w:tc>
          <w:tcPr>
            <w:tcW w:w="4208" w:type="dxa"/>
            <w:vAlign w:val="center"/>
          </w:tcPr>
          <w:p w14:paraId="439C6B5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湿法熄焦：熄焦塔</w:t>
            </w:r>
          </w:p>
        </w:tc>
        <w:tc>
          <w:tcPr>
            <w:tcW w:w="2841" w:type="dxa"/>
            <w:vAlign w:val="center"/>
          </w:tcPr>
          <w:p w14:paraId="00E200C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颗粒物、PAH、酚、HCN、NH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S</w:t>
            </w:r>
          </w:p>
        </w:tc>
      </w:tr>
      <w:tr w14:paraId="0BAC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continue"/>
            <w:vAlign w:val="center"/>
          </w:tcPr>
          <w:p w14:paraId="1E99F0A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p>
        </w:tc>
        <w:tc>
          <w:tcPr>
            <w:tcW w:w="4208" w:type="dxa"/>
            <w:vAlign w:val="center"/>
          </w:tcPr>
          <w:p w14:paraId="58434B8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干法熄焦：干熄焦槽顶、排焦口、风机放散管</w:t>
            </w:r>
          </w:p>
        </w:tc>
        <w:tc>
          <w:tcPr>
            <w:tcW w:w="2841" w:type="dxa"/>
            <w:vAlign w:val="center"/>
          </w:tcPr>
          <w:p w14:paraId="61A48E2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颗粒物、SO</w:t>
            </w:r>
            <w:r>
              <w:rPr>
                <w:rFonts w:hint="default" w:ascii="Times New Roman" w:hAnsi="Times New Roman" w:eastAsia="宋体" w:cs="Times New Roman"/>
                <w:sz w:val="21"/>
                <w:szCs w:val="21"/>
                <w:vertAlign w:val="subscript"/>
                <w:lang w:val="en-US" w:eastAsia="zh-CN"/>
              </w:rPr>
              <w:t>2</w:t>
            </w:r>
          </w:p>
        </w:tc>
      </w:tr>
      <w:tr w14:paraId="61EF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restart"/>
            <w:vAlign w:val="center"/>
          </w:tcPr>
          <w:p w14:paraId="40303EF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筛贮焦工序</w:t>
            </w:r>
          </w:p>
        </w:tc>
        <w:tc>
          <w:tcPr>
            <w:tcW w:w="4208" w:type="dxa"/>
            <w:vAlign w:val="center"/>
          </w:tcPr>
          <w:p w14:paraId="1C2F690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焦炭筛分破碎</w:t>
            </w:r>
          </w:p>
        </w:tc>
        <w:tc>
          <w:tcPr>
            <w:tcW w:w="2841" w:type="dxa"/>
            <w:vAlign w:val="center"/>
          </w:tcPr>
          <w:p w14:paraId="40A42C7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颗粒物</w:t>
            </w:r>
          </w:p>
        </w:tc>
      </w:tr>
      <w:tr w14:paraId="0F2F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continue"/>
            <w:vAlign w:val="center"/>
          </w:tcPr>
          <w:p w14:paraId="50224BB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p>
        </w:tc>
        <w:tc>
          <w:tcPr>
            <w:tcW w:w="4208" w:type="dxa"/>
            <w:vAlign w:val="center"/>
          </w:tcPr>
          <w:p w14:paraId="018CB76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焦炭贮存、小品种焦炭装车</w:t>
            </w:r>
          </w:p>
        </w:tc>
        <w:tc>
          <w:tcPr>
            <w:tcW w:w="2841" w:type="dxa"/>
            <w:vAlign w:val="center"/>
          </w:tcPr>
          <w:p w14:paraId="62677BE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颗粒物</w:t>
            </w:r>
          </w:p>
        </w:tc>
      </w:tr>
      <w:tr w14:paraId="2929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restart"/>
            <w:vAlign w:val="center"/>
          </w:tcPr>
          <w:p w14:paraId="03123F3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煤气净化工序</w:t>
            </w:r>
          </w:p>
        </w:tc>
        <w:tc>
          <w:tcPr>
            <w:tcW w:w="4208" w:type="dxa"/>
            <w:vAlign w:val="center"/>
          </w:tcPr>
          <w:p w14:paraId="40C462B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煤气冷却装置各种槽类设备的放散管</w:t>
            </w:r>
          </w:p>
        </w:tc>
        <w:tc>
          <w:tcPr>
            <w:tcW w:w="2841" w:type="dxa"/>
            <w:vAlign w:val="center"/>
          </w:tcPr>
          <w:p w14:paraId="245CC8C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PAH、NH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S</w:t>
            </w:r>
          </w:p>
        </w:tc>
      </w:tr>
      <w:tr w14:paraId="271A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continue"/>
            <w:vAlign w:val="center"/>
          </w:tcPr>
          <w:p w14:paraId="2A76C9E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p>
        </w:tc>
        <w:tc>
          <w:tcPr>
            <w:tcW w:w="4208" w:type="dxa"/>
            <w:vAlign w:val="center"/>
          </w:tcPr>
          <w:p w14:paraId="4B93D568">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粗苯蒸馏装置各种油槽分离器的放散管</w:t>
            </w:r>
          </w:p>
        </w:tc>
        <w:tc>
          <w:tcPr>
            <w:tcW w:w="2841" w:type="dxa"/>
            <w:vAlign w:val="center"/>
          </w:tcPr>
          <w:p w14:paraId="0A3F8A0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PAH、NH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S、C</w:t>
            </w:r>
            <w:r>
              <w:rPr>
                <w:rFonts w:hint="default" w:ascii="Times New Roman" w:hAnsi="Times New Roman" w:eastAsia="宋体" w:cs="Times New Roman"/>
                <w:sz w:val="21"/>
                <w:szCs w:val="21"/>
                <w:vertAlign w:val="subscript"/>
                <w:lang w:val="en-US" w:eastAsia="zh-CN"/>
              </w:rPr>
              <w:t>m</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n</w:t>
            </w:r>
            <w:r>
              <w:rPr>
                <w:rFonts w:hint="default" w:ascii="Times New Roman" w:hAnsi="Times New Roman" w:eastAsia="宋体" w:cs="Times New Roman"/>
                <w:sz w:val="21"/>
                <w:szCs w:val="21"/>
                <w:lang w:val="en-US" w:eastAsia="zh-CN"/>
              </w:rPr>
              <w:t>等</w:t>
            </w:r>
          </w:p>
        </w:tc>
      </w:tr>
      <w:tr w14:paraId="0FFC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continue"/>
            <w:vAlign w:val="center"/>
          </w:tcPr>
          <w:p w14:paraId="751D612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p>
        </w:tc>
        <w:tc>
          <w:tcPr>
            <w:tcW w:w="4208" w:type="dxa"/>
            <w:vAlign w:val="center"/>
          </w:tcPr>
          <w:p w14:paraId="068DBDA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精苯加工及焦油加工</w:t>
            </w:r>
          </w:p>
        </w:tc>
        <w:tc>
          <w:tcPr>
            <w:tcW w:w="2841" w:type="dxa"/>
            <w:vAlign w:val="center"/>
          </w:tcPr>
          <w:p w14:paraId="7EC3596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苯、C</w:t>
            </w:r>
            <w:r>
              <w:rPr>
                <w:rFonts w:hint="default" w:ascii="Times New Roman" w:hAnsi="Times New Roman" w:eastAsia="宋体" w:cs="Times New Roman"/>
                <w:sz w:val="21"/>
                <w:szCs w:val="21"/>
                <w:vertAlign w:val="subscript"/>
                <w:lang w:val="en-US" w:eastAsia="zh-CN"/>
              </w:rPr>
              <w:t>m</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n</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S等</w:t>
            </w:r>
          </w:p>
        </w:tc>
      </w:tr>
      <w:tr w14:paraId="10C7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continue"/>
            <w:vAlign w:val="center"/>
          </w:tcPr>
          <w:p w14:paraId="6F389D1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p>
        </w:tc>
        <w:tc>
          <w:tcPr>
            <w:tcW w:w="4208" w:type="dxa"/>
            <w:vAlign w:val="center"/>
          </w:tcPr>
          <w:p w14:paraId="5F6B489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脱硫再生塔</w:t>
            </w:r>
          </w:p>
        </w:tc>
        <w:tc>
          <w:tcPr>
            <w:tcW w:w="2841" w:type="dxa"/>
            <w:vAlign w:val="center"/>
          </w:tcPr>
          <w:p w14:paraId="5806DB3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S</w:t>
            </w:r>
          </w:p>
        </w:tc>
      </w:tr>
      <w:tr w14:paraId="7033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continue"/>
            <w:vAlign w:val="center"/>
          </w:tcPr>
          <w:p w14:paraId="16BD0FF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p>
        </w:tc>
        <w:tc>
          <w:tcPr>
            <w:tcW w:w="4208" w:type="dxa"/>
            <w:vAlign w:val="center"/>
          </w:tcPr>
          <w:p w14:paraId="478ADB5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蒸氨系统</w:t>
            </w:r>
          </w:p>
        </w:tc>
        <w:tc>
          <w:tcPr>
            <w:tcW w:w="2841" w:type="dxa"/>
            <w:vAlign w:val="center"/>
          </w:tcPr>
          <w:p w14:paraId="56ECA48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、酚、吡啶盐基</w:t>
            </w:r>
          </w:p>
        </w:tc>
      </w:tr>
      <w:tr w14:paraId="2369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continue"/>
            <w:vAlign w:val="center"/>
          </w:tcPr>
          <w:p w14:paraId="6E6E214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p>
        </w:tc>
        <w:tc>
          <w:tcPr>
            <w:tcW w:w="4208" w:type="dxa"/>
            <w:vAlign w:val="center"/>
          </w:tcPr>
          <w:p w14:paraId="5AAC7B0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硫铵干燥系统</w:t>
            </w:r>
          </w:p>
        </w:tc>
        <w:tc>
          <w:tcPr>
            <w:tcW w:w="2841" w:type="dxa"/>
            <w:vAlign w:val="center"/>
          </w:tcPr>
          <w:p w14:paraId="644BABE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颗粒物、NH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、酚</w:t>
            </w:r>
          </w:p>
        </w:tc>
      </w:tr>
      <w:tr w14:paraId="4F44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3" w:type="dxa"/>
            <w:vMerge w:val="continue"/>
            <w:vAlign w:val="center"/>
          </w:tcPr>
          <w:p w14:paraId="7B60A72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p>
        </w:tc>
        <w:tc>
          <w:tcPr>
            <w:tcW w:w="4208" w:type="dxa"/>
            <w:vAlign w:val="center"/>
          </w:tcPr>
          <w:p w14:paraId="54AFCEF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管式加热炉</w:t>
            </w:r>
          </w:p>
        </w:tc>
        <w:tc>
          <w:tcPr>
            <w:tcW w:w="2841" w:type="dxa"/>
            <w:vAlign w:val="center"/>
          </w:tcPr>
          <w:p w14:paraId="7397B42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sz w:val="21"/>
                <w:szCs w:val="21"/>
                <w:lang w:val="en-US" w:eastAsia="zh-CN"/>
              </w:rPr>
              <w:t>颗粒物、S</w:t>
            </w:r>
            <w:r>
              <w:rPr>
                <w:rFonts w:hint="eastAsia"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、NOx</w:t>
            </w:r>
          </w:p>
        </w:tc>
      </w:tr>
    </w:tbl>
    <w:p w14:paraId="54972898">
      <w:pPr>
        <w:bidi w:val="0"/>
        <w:ind w:left="0" w:leftChars="0" w:firstLine="0" w:firstLineChars="0"/>
        <w:jc w:val="center"/>
      </w:pPr>
      <w:r>
        <w:drawing>
          <wp:inline distT="0" distB="0" distL="114300" distR="114300">
            <wp:extent cx="4432935" cy="7244080"/>
            <wp:effectExtent l="0" t="0" r="5715" b="13970"/>
            <wp:docPr id="1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3"/>
                    <pic:cNvPicPr>
                      <a:picLocks noChangeAspect="1"/>
                    </pic:cNvPicPr>
                  </pic:nvPicPr>
                  <pic:blipFill>
                    <a:blip r:embed="rId18"/>
                    <a:stretch>
                      <a:fillRect/>
                    </a:stretch>
                  </pic:blipFill>
                  <pic:spPr>
                    <a:xfrm>
                      <a:off x="0" y="0"/>
                      <a:ext cx="4432935" cy="7244080"/>
                    </a:xfrm>
                    <a:prstGeom prst="rect">
                      <a:avLst/>
                    </a:prstGeom>
                    <a:noFill/>
                    <a:ln>
                      <a:noFill/>
                    </a:ln>
                  </pic:spPr>
                </pic:pic>
              </a:graphicData>
            </a:graphic>
          </wp:inline>
        </w:drawing>
      </w:r>
    </w:p>
    <w:p w14:paraId="3D86B694">
      <w:pPr>
        <w:bidi w:val="0"/>
        <w:ind w:left="0" w:leftChars="0" w:firstLine="0" w:firstLineChars="0"/>
        <w:jc w:val="center"/>
        <w:rPr>
          <w:rFonts w:hint="default" w:eastAsia="宋体"/>
          <w:b/>
          <w:bCs/>
          <w:lang w:val="en-US" w:eastAsia="zh-CN"/>
        </w:rPr>
      </w:pPr>
      <w:r>
        <w:rPr>
          <w:rFonts w:hint="eastAsia"/>
          <w:b/>
          <w:bCs/>
          <w:lang w:val="en-US" w:eastAsia="zh-CN"/>
        </w:rPr>
        <w:t>图4-8焦化工艺流程及产污环节</w:t>
      </w:r>
    </w:p>
    <w:p w14:paraId="47C84A0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default" w:ascii="Times New Roman" w:hAnsi="Times New Roman" w:cs="Times New Roman"/>
          <w:lang w:val="en-US" w:eastAsia="zh-CN"/>
        </w:rPr>
      </w:pPr>
      <w:bookmarkStart w:id="22" w:name="_Toc22327"/>
      <w:r>
        <w:rPr>
          <w:rStyle w:val="28"/>
          <w:rFonts w:hint="eastAsia" w:ascii="Times New Roman" w:hAnsi="Times New Roman" w:cs="Times New Roman"/>
          <w:lang w:val="en-US" w:eastAsia="zh-CN"/>
        </w:rPr>
        <w:t>4.2钢铁工业主要有毒有害污染物特性</w:t>
      </w:r>
    </w:p>
    <w:bookmarkEnd w:id="22"/>
    <w:p w14:paraId="7B92A1A6">
      <w:pPr>
        <w:bidi w:val="0"/>
      </w:pPr>
      <w:r>
        <w:t>（1）烟粉尘（颗粒物）</w:t>
      </w:r>
    </w:p>
    <w:p w14:paraId="2141233A">
      <w:pPr>
        <w:bidi w:val="0"/>
      </w:pPr>
      <w:r>
        <w:t>钢铁行业原料运输、倒运、供卸料等系统中产生的无组织颗粒物排放；烧结工序主要是原矿与燃料中煅烧产生的烧结机头烟气中含碱金属飞灰，与配料、混料、整粒等环节产生的粉尘颗粒物。炼铁、炼钢、轧钢等冶炼与轧制过程中产生的烟尘及氧化铁皮飞屑。由于钢铁企业清洁运输推行处于攻坚期，整体来看，全流程无组织颗粒物排放仍作为工业排放源颗粒物的重点。</w:t>
      </w:r>
    </w:p>
    <w:p w14:paraId="76E48D35">
      <w:pPr>
        <w:bidi w:val="0"/>
      </w:pPr>
      <w:r>
        <w:t>（2）二氧化硫</w:t>
      </w:r>
    </w:p>
    <w:p w14:paraId="109FE933">
      <w:pPr>
        <w:bidi w:val="0"/>
      </w:pPr>
      <w:r>
        <w:t>烧结（球团）过程中原矿与燃料煤焙烧产生的SO</w:t>
      </w:r>
      <w:r>
        <w:rPr>
          <w:vertAlign w:val="subscript"/>
        </w:rPr>
        <w:t>2</w:t>
      </w:r>
      <w:r>
        <w:t>，是全流程钢铁工序SO</w:t>
      </w:r>
      <w:r>
        <w:rPr>
          <w:vertAlign w:val="subscript"/>
        </w:rPr>
        <w:t>2</w:t>
      </w:r>
      <w:r>
        <w:t>排放强度最多的点位。同时，炼铁过程中冶金焦炭、原料的燃烧也使得煤气中含有一定浓度的H</w:t>
      </w:r>
      <w:r>
        <w:rPr>
          <w:vertAlign w:val="subscript"/>
        </w:rPr>
        <w:t>2</w:t>
      </w:r>
      <w:r>
        <w:t>S与更高比例存在的有机硫，在有氧充分燃烧后，于煤气下游用户如热风炉、加热炉及热处理炉、石灰窑等排放节点产生SO</w:t>
      </w:r>
      <w:r>
        <w:rPr>
          <w:vertAlign w:val="subscript"/>
        </w:rPr>
        <w:t>2</w:t>
      </w:r>
      <w:r>
        <w:t>。</w:t>
      </w:r>
    </w:p>
    <w:p w14:paraId="56358818">
      <w:pPr>
        <w:bidi w:val="0"/>
      </w:pPr>
      <w:r>
        <w:t>（3）氮氧化物</w:t>
      </w:r>
    </w:p>
    <w:p w14:paraId="1F33B657">
      <w:pPr>
        <w:bidi w:val="0"/>
      </w:pPr>
      <w:r>
        <w:t>烧结（球团）、炼铁和炼钢、轧钢等燃煤、焦粉或混合煤气的工序，在生产过程中将主要产生燃料型与热力型NO</w:t>
      </w:r>
      <w:r>
        <w:rPr>
          <w:rFonts w:hint="eastAsia"/>
          <w:lang w:val="en-US" w:eastAsia="zh-CN"/>
        </w:rPr>
        <w:t>x</w:t>
      </w:r>
      <w:r>
        <w:t>，成为工业固定源污染物排放的一大重点污染源。</w:t>
      </w:r>
    </w:p>
    <w:p w14:paraId="45CC0753">
      <w:pPr>
        <w:bidi w:val="0"/>
      </w:pPr>
      <w:r>
        <w:t>（4）氟化物</w:t>
      </w:r>
    </w:p>
    <w:p w14:paraId="5006C679">
      <w:pPr>
        <w:bidi w:val="0"/>
      </w:pPr>
      <w:r>
        <w:t>烧结（球团）、炼铁过程由于高温煅烧原矿与煤燃料，导致上述工序产生气态氟，主要成分为HF和SiF</w:t>
      </w:r>
      <w:r>
        <w:rPr>
          <w:vertAlign w:val="subscript"/>
        </w:rPr>
        <w:t>4</w:t>
      </w:r>
      <w:r>
        <w:t>。炼钢系统烟气中的氟化物主要来源于添加的萤石，且主要以CaF</w:t>
      </w:r>
      <w:r>
        <w:rPr>
          <w:vertAlign w:val="subscript"/>
        </w:rPr>
        <w:t>2</w:t>
      </w:r>
      <w:r>
        <w:t>形式存在，可通过高效除尘设施予以去除。</w:t>
      </w:r>
    </w:p>
    <w:p w14:paraId="2B9C9C71">
      <w:pPr>
        <w:bidi w:val="0"/>
      </w:pPr>
      <w:r>
        <w:t>（5）二噁英</w:t>
      </w:r>
    </w:p>
    <w:p w14:paraId="33CED0D1">
      <w:pPr>
        <w:bidi w:val="0"/>
      </w:pPr>
      <w:r>
        <w:t>在烧结（球团）与电炉炼钢工序中，二噁英主要来源于含油氧化铁皮与废钢油漆等，特别是氯化物原料的热反应过程。通过选用低氯化物原料、轧钢皮除油以及废气循环的措施可有效降低废气中二噁英的排放浓度，而且不需要昂贵的气体清洗装置。欧盟烧结工艺的二噁英排放标准0.2ng-TEQ/m</w:t>
      </w:r>
      <w:r>
        <w:rPr>
          <w:vertAlign w:val="superscript"/>
        </w:rPr>
        <w:t>3</w:t>
      </w:r>
      <w:r>
        <w:t>～0.4ng-TEQ/m</w:t>
      </w:r>
      <w:r>
        <w:rPr>
          <w:vertAlign w:val="superscript"/>
        </w:rPr>
        <w:t>3</w:t>
      </w:r>
      <w:r>
        <w:t>，台湾省的排放标准是0.5ng-TEQ/m</w:t>
      </w:r>
      <w:r>
        <w:rPr>
          <w:vertAlign w:val="superscript"/>
        </w:rPr>
        <w:t>3</w:t>
      </w:r>
      <w:r>
        <w:t>。</w:t>
      </w:r>
    </w:p>
    <w:p w14:paraId="4C7EEF9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eastAsia" w:ascii="Times New Roman" w:hAnsi="Times New Roman" w:cs="Times New Roman"/>
          <w:lang w:val="en-US" w:eastAsia="zh-CN"/>
        </w:rPr>
      </w:pPr>
      <w:bookmarkStart w:id="23" w:name="_Toc14877"/>
      <w:r>
        <w:rPr>
          <w:rStyle w:val="28"/>
          <w:rFonts w:hint="eastAsia" w:ascii="Times New Roman" w:hAnsi="Times New Roman" w:cs="Times New Roman"/>
          <w:lang w:val="en-US" w:eastAsia="zh-CN"/>
        </w:rPr>
        <w:t>4.3钢铁工业大气污染防治存在的问题</w:t>
      </w:r>
    </w:p>
    <w:bookmarkEnd w:id="23"/>
    <w:p w14:paraId="6F31AECB">
      <w:pPr>
        <w:bidi w:val="0"/>
        <w:rPr>
          <w:rFonts w:hint="eastAsia"/>
          <w:lang w:val="en-US" w:eastAsia="zh-CN"/>
        </w:rPr>
      </w:pPr>
      <w:r>
        <w:rPr>
          <w:rFonts w:hint="eastAsia"/>
          <w:lang w:val="en-US" w:eastAsia="zh-CN"/>
        </w:rPr>
        <w:t>①政策导向性仍有待加强</w:t>
      </w:r>
    </w:p>
    <w:p w14:paraId="7429D804">
      <w:pPr>
        <w:bidi w:val="0"/>
        <w:rPr>
          <w:rFonts w:hint="eastAsia"/>
          <w:lang w:val="en-US" w:eastAsia="zh-CN"/>
        </w:rPr>
      </w:pPr>
      <w:r>
        <w:rPr>
          <w:rFonts w:hint="eastAsia"/>
          <w:lang w:val="en-US" w:eastAsia="zh-CN"/>
        </w:rPr>
        <w:t>从《钢铁企业超低排放改造工作方案（征求意见稿）》到《意见》，超低排放都</w:t>
      </w:r>
      <w:bookmarkStart w:id="24" w:name="OLE_LINK17"/>
      <w:r>
        <w:rPr>
          <w:rFonts w:hint="eastAsia"/>
          <w:lang w:val="en-US" w:eastAsia="zh-CN"/>
        </w:rPr>
        <w:t>不是一个强制性的排放标准，也不是每一个企业必须要执行的政策方案，是一个鼓励性的、引导性的管理意见。</w:t>
      </w:r>
      <w:bookmarkEnd w:id="24"/>
      <w:r>
        <w:rPr>
          <w:rFonts w:hint="eastAsia"/>
          <w:lang w:val="en-US" w:eastAsia="zh-CN"/>
        </w:rPr>
        <w:t>目前仅河北、山东、河南、山西发布钢铁超低控制标准要求，作为强制标准执行。</w:t>
      </w:r>
    </w:p>
    <w:p w14:paraId="0094A2F9">
      <w:pPr>
        <w:bidi w:val="0"/>
        <w:rPr>
          <w:rFonts w:hint="eastAsia"/>
          <w:lang w:val="en-US" w:eastAsia="zh-CN"/>
        </w:rPr>
      </w:pPr>
      <w:r>
        <w:rPr>
          <w:rFonts w:hint="eastAsia"/>
          <w:lang w:val="en-US" w:eastAsia="zh-CN"/>
        </w:rPr>
        <w:t>②无组织等环境管理要求需要进一步加强</w:t>
      </w:r>
    </w:p>
    <w:p w14:paraId="1C6C4BCC">
      <w:pPr>
        <w:bidi w:val="0"/>
        <w:rPr>
          <w:rFonts w:hint="eastAsia"/>
          <w:lang w:val="en-US" w:eastAsia="zh-CN"/>
        </w:rPr>
      </w:pPr>
      <w:r>
        <w:rPr>
          <w:rFonts w:hint="eastAsia"/>
          <w:lang w:val="en-US" w:eastAsia="zh-CN"/>
        </w:rPr>
        <w:t>（a）无组织控制未实现系统化、过程化管理</w:t>
      </w:r>
    </w:p>
    <w:p w14:paraId="32EB660F">
      <w:pPr>
        <w:bidi w:val="0"/>
        <w:rPr>
          <w:rFonts w:hint="eastAsia"/>
          <w:lang w:val="en-US" w:eastAsia="zh-CN"/>
        </w:rPr>
      </w:pPr>
      <w:r>
        <w:rPr>
          <w:rFonts w:hint="eastAsia"/>
          <w:lang w:val="en-US" w:eastAsia="zh-CN"/>
        </w:rPr>
        <w:t>《意见》中对无组织排放控制措施提出了具体要求。物料储存采用密闭、封闭等有效措施，物料输送采用密闭或采用皮带通廊等方式封闭输送；确需汽车运输的，应使用封闭车厢或苫盖严密。要求有效提高废气收集率，产尘点及车间不得有可见烟粉尘外逸。易产尘点提出了安装高清视频监控设施，主要产尘点周边、运输道路两侧布设空气质量监测微站点。但无组织的控制措施固然重要，但日常的规范化管理才是达到超低的要求之重，企业的无组织控制理念有待更新。</w:t>
      </w:r>
    </w:p>
    <w:p w14:paraId="166AD2A3">
      <w:pPr>
        <w:bidi w:val="0"/>
        <w:rPr>
          <w:rFonts w:hint="eastAsia"/>
          <w:lang w:val="en-US" w:eastAsia="zh-CN"/>
        </w:rPr>
      </w:pPr>
      <w:r>
        <w:rPr>
          <w:rFonts w:hint="eastAsia"/>
          <w:lang w:val="en-US" w:eastAsia="zh-CN"/>
        </w:rPr>
        <w:t>（b）清洁运输落地困难</w:t>
      </w:r>
    </w:p>
    <w:p w14:paraId="4485025A">
      <w:pPr>
        <w:bidi w:val="0"/>
        <w:rPr>
          <w:rFonts w:hint="eastAsia"/>
          <w:lang w:val="en-US" w:eastAsia="zh-CN"/>
        </w:rPr>
      </w:pPr>
      <w:r>
        <w:rPr>
          <w:rFonts w:hint="eastAsia"/>
          <w:lang w:val="en-US" w:eastAsia="zh-CN"/>
        </w:rPr>
        <w:t>《意见》中对大宗物料产品清洁运输提出了超低要求。进出钢铁企业的铁精矿、煤炭、焦炭等大宗物料和产品采用铁路、水路、管道或管状带式输送机等清洁方式运输比例不低于80%；达不到的，汽车运输部分应全部采用新能源汽车或达到国六排放标准的汽车（2021年底前可采用国五排放标准的汽车）。在实际超低推进过程中发现清洁运输要求落地困难。随着钢铁行业超低排放的不断深入，在有组织排放、无组织排放等方面实施效果十分显著，但在清洁运输方面，我国钢铁行业仍存在许多不足之处。据统计，2019年钢铁行业外部运输中，公路运输占比50%以上。根据超低排放要求，钢铁企业清洁运输比例不低于80%，而就实际情况来看，由于部分物料属于短途运输，建设时并未规划铁路运输，因此，多数企业清洁运输比例甚至达不到50%。另外，从新能源汽车使用的角度来看，新能源汽车载重较低，续航里程较短，充电时间长，在很大程度上难以满足企业的外部运输要求，所以钢铁行业在清洁运输方面还面临很大的挑战。</w:t>
      </w:r>
    </w:p>
    <w:p w14:paraId="7BD7E8AE">
      <w:pPr>
        <w:bidi w:val="0"/>
        <w:rPr>
          <w:rFonts w:hint="eastAsia"/>
          <w:lang w:val="en-US" w:eastAsia="zh-CN"/>
        </w:rPr>
      </w:pPr>
      <w:r>
        <w:rPr>
          <w:rFonts w:hint="eastAsia"/>
          <w:lang w:val="en-US" w:eastAsia="zh-CN"/>
        </w:rPr>
        <w:t>（c）未建立科学、完备的监测监控体系</w:t>
      </w:r>
    </w:p>
    <w:p w14:paraId="525685CD">
      <w:pPr>
        <w:bidi w:val="0"/>
        <w:rPr>
          <w:rFonts w:hint="eastAsia"/>
          <w:lang w:val="en-US" w:eastAsia="zh-CN"/>
        </w:rPr>
      </w:pPr>
      <w:r>
        <w:rPr>
          <w:rFonts w:hint="eastAsia"/>
          <w:lang w:val="en-US" w:eastAsia="zh-CN"/>
        </w:rPr>
        <w:t>钢铁工业企业申领排污许可证，规范了自行监测频次、内容和要求，为许可实际排放量、环保税、环境统计“一套数据”奠定基础。从江苏、河北等重点区域钢铁企业现场调研来看，主要排放口（烧结机头烟气、球团焙烧烟气、高炉矿槽、高炉出铁场、转炉二次烟气）均安装在线监测，企业定期委托第三方开展监测并及时将监测结果公开。但钢铁企业、第三方运维单位职责不清、人员能力严重不足、监管缺失等导致在线监测数据质量不高。以国内唯一一家通过全流程超低排放验收的首钢迁钢公司为例，在超低评估过程中，发现企业32套CEMS比对27套不合格，60个主要排放口中存在21个设置不规范；安钢公司43套CEMS比对18套不合格，60个主要排放口中存在21个设置不规范。CEMS和排放口设置不规范，导致监测结果偏差大。</w:t>
      </w:r>
    </w:p>
    <w:p w14:paraId="0E6AD8AE">
      <w:pPr>
        <w:pStyle w:val="2"/>
        <w:bidi w:val="0"/>
      </w:pPr>
      <w:bookmarkStart w:id="25" w:name="_Toc5898"/>
      <w:r>
        <w:t>标准主</w:t>
      </w:r>
      <w:r>
        <w:rPr>
          <w:rFonts w:hint="eastAsia"/>
        </w:rPr>
        <w:t>要技术内容及确定依据</w:t>
      </w:r>
      <w:bookmarkEnd w:id="25"/>
    </w:p>
    <w:p w14:paraId="4535565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eastAsia" w:ascii="Times New Roman" w:hAnsi="Times New Roman" w:cs="Times New Roman"/>
          <w:lang w:val="en-US" w:eastAsia="zh-CN"/>
        </w:rPr>
      </w:pPr>
      <w:bookmarkStart w:id="26" w:name="_Toc17168"/>
      <w:r>
        <w:rPr>
          <w:rStyle w:val="28"/>
          <w:rFonts w:hint="eastAsia" w:ascii="Times New Roman" w:hAnsi="Times New Roman" w:cs="Times New Roman"/>
          <w:lang w:val="en-US" w:eastAsia="zh-CN"/>
        </w:rPr>
        <w:t>5.1标准主要技术内容</w:t>
      </w:r>
    </w:p>
    <w:bookmarkEnd w:id="26"/>
    <w:p w14:paraId="47805088">
      <w:pPr>
        <w:bidi w:val="0"/>
        <w:rPr>
          <w:rFonts w:hint="eastAsia"/>
          <w:lang w:val="en-US" w:eastAsia="zh-CN"/>
        </w:rPr>
      </w:pPr>
      <w:r>
        <w:rPr>
          <w:rFonts w:hint="eastAsia"/>
          <w:lang w:val="en-US" w:eastAsia="zh-CN"/>
        </w:rPr>
        <w:t>本标准以全过程控制为核心，结合甘肃省钢铁工业特点及大气污染防控需求，从总体要求、排放源管控、监测技术及环境管理等方面提出技术要求，主要内容如下：</w:t>
      </w:r>
    </w:p>
    <w:p w14:paraId="572DDC11">
      <w:pPr>
        <w:bidi w:val="0"/>
        <w:rPr>
          <w:rFonts w:hint="eastAsia"/>
          <w:lang w:val="en-US" w:eastAsia="zh-CN"/>
        </w:rPr>
      </w:pPr>
      <w:bookmarkStart w:id="27" w:name="OLE_LINK10"/>
      <w:r>
        <w:rPr>
          <w:rFonts w:hint="eastAsia" w:ascii="Calibri" w:hAnsi="Calibri" w:eastAsia="黑体" w:cs="Times New Roman"/>
          <w:b/>
          <w:bCs/>
          <w:kern w:val="2"/>
          <w:sz w:val="24"/>
          <w:szCs w:val="32"/>
          <w:lang w:val="en-US" w:eastAsia="zh-CN" w:bidi="ar-SA"/>
        </w:rPr>
        <w:t>5.5.1</w:t>
      </w:r>
      <w:bookmarkEnd w:id="27"/>
      <w:r>
        <w:rPr>
          <w:rFonts w:hint="eastAsia" w:ascii="Calibri" w:hAnsi="Calibri" w:eastAsia="黑体" w:cs="Times New Roman"/>
          <w:b/>
          <w:bCs/>
          <w:kern w:val="2"/>
          <w:sz w:val="24"/>
          <w:szCs w:val="32"/>
          <w:lang w:val="en-US" w:eastAsia="zh-CN" w:bidi="ar-SA"/>
        </w:rPr>
        <w:t>适用范围</w:t>
      </w:r>
    </w:p>
    <w:p w14:paraId="147C2B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明确本标准适用于甘肃省钢铁工业炼焦、烧结（球团）、炼铁、炼钢、轧钢等生产工序，规定了现有企业及新建、改扩建项目的污染控制要求，覆盖环境影响评价、排污许可、验收及日常管理全流程。</w:t>
      </w:r>
    </w:p>
    <w:p w14:paraId="42D03B4B">
      <w:pPr>
        <w:bidi w:val="0"/>
        <w:rPr>
          <w:rFonts w:hint="eastAsia"/>
          <w:lang w:val="en-US" w:eastAsia="zh-CN"/>
        </w:rPr>
      </w:pPr>
      <w:r>
        <w:rPr>
          <w:rFonts w:hint="eastAsia" w:ascii="Calibri" w:hAnsi="Calibri" w:eastAsia="黑体" w:cs="Times New Roman"/>
          <w:b/>
          <w:bCs/>
          <w:kern w:val="2"/>
          <w:sz w:val="24"/>
          <w:szCs w:val="32"/>
          <w:lang w:val="en-US" w:eastAsia="zh-CN" w:bidi="ar-SA"/>
        </w:rPr>
        <w:t>5.5.2总体要求</w:t>
      </w:r>
    </w:p>
    <w:p w14:paraId="4B5F8E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全过程控制原则：强调源头削减（如低硫煤/矿使用）、过程优化（清洁生产技术）及末端协同治理（多污染物协同减排技术）。</w:t>
      </w:r>
    </w:p>
    <w:p w14:paraId="1CC472B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lang w:val="en-US" w:eastAsia="zh-CN"/>
        </w:rPr>
      </w:pPr>
      <w:r>
        <w:rPr>
          <w:rFonts w:hint="eastAsia"/>
          <w:lang w:val="en-US" w:eastAsia="zh-CN"/>
        </w:rPr>
        <w:t>排放要求：规定有组织排放源需满足国家排放标准及更严格的环评/排污许可要求，并明确排气筒高度（≥15m）及基准氧含量换算规则。</w:t>
      </w:r>
    </w:p>
    <w:p w14:paraId="5B19BCD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Calibri" w:hAnsi="Calibri" w:eastAsia="黑体" w:cs="Times New Roman"/>
          <w:b/>
          <w:bCs/>
          <w:kern w:val="2"/>
          <w:sz w:val="24"/>
          <w:szCs w:val="32"/>
          <w:lang w:val="en-US" w:eastAsia="zh-CN" w:bidi="ar-SA"/>
        </w:rPr>
      </w:pPr>
      <w:r>
        <w:rPr>
          <w:rFonts w:hint="eastAsia" w:ascii="Calibri" w:hAnsi="Calibri" w:eastAsia="黑体" w:cs="Times New Roman"/>
          <w:b/>
          <w:bCs/>
          <w:kern w:val="2"/>
          <w:sz w:val="24"/>
          <w:szCs w:val="32"/>
          <w:lang w:val="en-US" w:eastAsia="zh-CN" w:bidi="ar-SA"/>
        </w:rPr>
        <w:t>5.5.3有组织排放源控制</w:t>
      </w:r>
    </w:p>
    <w:p w14:paraId="7D856C82">
      <w:pPr>
        <w:numPr>
          <w:ilvl w:val="0"/>
          <w:numId w:val="0"/>
        </w:numPr>
        <w:bidi w:val="0"/>
        <w:ind w:leftChars="200"/>
        <w:rPr>
          <w:rFonts w:hint="eastAsia"/>
          <w:lang w:val="en-US" w:eastAsia="zh-CN"/>
        </w:rPr>
      </w:pPr>
      <w:r>
        <w:rPr>
          <w:rFonts w:hint="eastAsia"/>
          <w:lang w:val="en-US" w:eastAsia="zh-CN"/>
        </w:rPr>
        <w:t>（1）治理技术路线：</w:t>
      </w:r>
    </w:p>
    <w:p w14:paraId="6A4F43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烧结机机头、焦炉烟囱等关键工序采用“电除尘+脱硫（湿法/半干法/活性炭工艺）+脱硝（SCR或活性炭工艺）”组合技术，辅以高效除尘设施（如湿式电除尘、袋式除尘）。</w:t>
      </w:r>
    </w:p>
    <w:p w14:paraId="0AFBB8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其他产尘工序（如高炉出铁场、转炉二次烟气）优先选用高效袋式除尘、折叠滤筒等技术。</w:t>
      </w:r>
    </w:p>
    <w:p w14:paraId="07C97B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（2）监测要求：要求安装CEMS及DCS系统，确保数据有效捕获率≥95%，并定期维护设备。</w:t>
      </w:r>
    </w:p>
    <w:p w14:paraId="408704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（3）排放要求：钢铁企业有组织排放源大气污染物的排放应符合国家发布的污染物排放标准及限值要求；环境影响评价批复文件或排污许可证有更严格要求的，从其规定。</w:t>
      </w:r>
    </w:p>
    <w:p w14:paraId="4A3EDE2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lang w:val="en-US" w:eastAsia="zh-CN"/>
        </w:rPr>
      </w:pPr>
      <w:r>
        <w:rPr>
          <w:rFonts w:hint="eastAsia" w:ascii="Calibri" w:hAnsi="Calibri" w:eastAsia="黑体" w:cs="Times New Roman"/>
          <w:b/>
          <w:bCs/>
          <w:kern w:val="2"/>
          <w:sz w:val="24"/>
          <w:szCs w:val="32"/>
          <w:lang w:val="en-US" w:eastAsia="zh-CN" w:bidi="ar-SA"/>
        </w:rPr>
        <w:t>5.5.4无组织排放源控制</w:t>
      </w:r>
    </w:p>
    <w:p w14:paraId="1DA3B3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（1）密闭与封闭措施：粉状物料采用密闭储运，块状/粘湿物料使用封闭料场及皮带通廊，大宗物料清洁运输比例≥80%。</w:t>
      </w:r>
    </w:p>
    <w:p w14:paraId="111333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（2）特殊污染物控制：轧钢酸洗机组氯化氢、炼焦区域苯并[a]芘等污染物排放应符合国家相关标准要求。</w:t>
      </w:r>
    </w:p>
    <w:p w14:paraId="4C5CCD2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lang w:val="en-US" w:eastAsia="zh-CN"/>
        </w:rPr>
      </w:pPr>
      <w:r>
        <w:rPr>
          <w:rFonts w:hint="eastAsia" w:ascii="Calibri" w:hAnsi="Calibri" w:eastAsia="黑体" w:cs="Times New Roman"/>
          <w:b/>
          <w:bCs/>
          <w:kern w:val="2"/>
          <w:sz w:val="24"/>
          <w:szCs w:val="32"/>
          <w:lang w:val="en-US" w:eastAsia="zh-CN" w:bidi="ar-SA"/>
        </w:rPr>
        <w:t>5.5.5污染物监测要求</w:t>
      </w:r>
    </w:p>
    <w:p w14:paraId="1280CE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采样及分析方法严格遵循GB/T16157、HJ/T55等标准，附录A列出颗粒物、SO₂、NOₓ等污染物的测定方法标准。强调监测时段需覆盖排放峰值，确保数据代表性。</w:t>
      </w:r>
    </w:p>
    <w:p w14:paraId="44BEF75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lang w:val="en-US" w:eastAsia="zh-CN"/>
        </w:rPr>
      </w:pPr>
      <w:r>
        <w:rPr>
          <w:rFonts w:hint="eastAsia" w:ascii="Calibri" w:hAnsi="Calibri" w:eastAsia="黑体" w:cs="Times New Roman"/>
          <w:b/>
          <w:bCs/>
          <w:kern w:val="2"/>
          <w:sz w:val="24"/>
          <w:szCs w:val="32"/>
          <w:lang w:val="en-US" w:eastAsia="zh-CN" w:bidi="ar-SA"/>
        </w:rPr>
        <w:t>5.5.6环境管理要求</w:t>
      </w:r>
    </w:p>
    <w:p w14:paraId="43A1E6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建立污染源清单、环境台账（保存≥3年）及应急预案（每3年演练1次）。强化人员培训与设施运维，明确环保职责及管理制度。</w:t>
      </w:r>
    </w:p>
    <w:p w14:paraId="6196565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eastAsia" w:ascii="Times New Roman" w:hAnsi="Times New Roman" w:cs="Times New Roman"/>
          <w:lang w:val="en-US" w:eastAsia="zh-CN"/>
        </w:rPr>
      </w:pPr>
      <w:bookmarkStart w:id="28" w:name="_Toc15242"/>
      <w:r>
        <w:rPr>
          <w:rStyle w:val="28"/>
          <w:rFonts w:hint="eastAsia" w:ascii="Times New Roman" w:hAnsi="Times New Roman" w:cs="Times New Roman"/>
          <w:lang w:val="en-US" w:eastAsia="zh-CN"/>
        </w:rPr>
        <w:t>5.2技术内容确定依据</w:t>
      </w:r>
    </w:p>
    <w:bookmarkEnd w:id="28"/>
    <w:p w14:paraId="6B0C704A">
      <w:pPr>
        <w:pStyle w:val="4"/>
        <w:bidi w:val="0"/>
        <w:rPr>
          <w:rFonts w:hint="eastAsia"/>
          <w:lang w:val="en-US" w:eastAsia="zh-CN"/>
        </w:rPr>
      </w:pPr>
      <w:r>
        <w:rPr>
          <w:rFonts w:hint="eastAsia"/>
          <w:lang w:val="en-US" w:eastAsia="zh-CN"/>
        </w:rPr>
        <w:t>5.2.1总体原则</w:t>
      </w:r>
    </w:p>
    <w:p w14:paraId="6872B37E">
      <w:pPr>
        <w:bidi w:val="0"/>
        <w:rPr>
          <w:rFonts w:hint="eastAsia"/>
          <w:lang w:val="en-US" w:eastAsia="zh-CN"/>
        </w:rPr>
      </w:pPr>
      <w:r>
        <w:rPr>
          <w:rFonts w:hint="eastAsia"/>
          <w:lang w:val="en-US" w:eastAsia="zh-CN"/>
        </w:rPr>
        <w:t>依据《中华人民共和国环境保护法》《大气污染防治法》等法律，结合甘肃省生态环境承载力及钢铁产业集聚特点，提出全过程控制策略，以平衡经济发展与环境质量改善。</w:t>
      </w:r>
    </w:p>
    <w:p w14:paraId="209EB68A">
      <w:pPr>
        <w:pStyle w:val="4"/>
        <w:bidi w:val="0"/>
        <w:rPr>
          <w:rFonts w:hint="eastAsia"/>
          <w:lang w:val="en-US" w:eastAsia="zh-CN"/>
        </w:rPr>
      </w:pPr>
      <w:r>
        <w:rPr>
          <w:rFonts w:hint="eastAsia"/>
          <w:lang w:val="en-US" w:eastAsia="zh-CN"/>
        </w:rPr>
        <w:t>5.2.2排放要求制定</w:t>
      </w:r>
    </w:p>
    <w:p w14:paraId="16119DE1">
      <w:pPr>
        <w:bidi w:val="0"/>
        <w:rPr>
          <w:rFonts w:hint="default" w:cs="Times New Roman"/>
          <w:lang w:val="en-US" w:eastAsia="zh-CN"/>
        </w:rPr>
      </w:pPr>
      <w:r>
        <w:rPr>
          <w:rFonts w:hint="eastAsia"/>
          <w:lang w:val="en-US" w:eastAsia="zh-CN"/>
        </w:rPr>
        <w:t>参考GB28662、GB16171等国家行业标准，针对甘肃省重点污染物（如PM、SO₂、NOₓ）及区域性特征污染物（如氟化物、二噁英类），通过实测数据分析和环境容量核算，提出控制要求。标准中要求有组织排放源大气污染物的排放应符合国家发布的污染物排放标准及限值要求；环境影响评价批复文件或排污许可证有更严格要求的，从其规定。</w:t>
      </w:r>
    </w:p>
    <w:p w14:paraId="58CA7B28">
      <w:pPr>
        <w:bidi w:val="0"/>
        <w:rPr>
          <w:rFonts w:hint="eastAsia" w:ascii="Calibri" w:hAnsi="Calibri" w:eastAsia="黑体" w:cs="Times New Roman"/>
          <w:b/>
          <w:bCs/>
          <w:kern w:val="2"/>
          <w:sz w:val="24"/>
          <w:szCs w:val="32"/>
          <w:lang w:val="en-US" w:eastAsia="zh-CN" w:bidi="ar-SA"/>
        </w:rPr>
      </w:pPr>
      <w:r>
        <w:rPr>
          <w:rFonts w:hint="eastAsia" w:ascii="Calibri" w:hAnsi="Calibri" w:eastAsia="黑体" w:cs="Times New Roman"/>
          <w:b/>
          <w:bCs/>
          <w:kern w:val="2"/>
          <w:sz w:val="24"/>
          <w:szCs w:val="32"/>
          <w:lang w:val="en-US" w:eastAsia="zh-CN" w:bidi="ar-SA"/>
        </w:rPr>
        <w:t>5.2.3治理技术选择</w:t>
      </w:r>
    </w:p>
    <w:p w14:paraId="096E547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r>
        <w:rPr>
          <w:rFonts w:hint="eastAsia"/>
          <w:lang w:val="en-US" w:eastAsia="zh-CN"/>
        </w:rPr>
        <w:t>基于甘肃省钢铁企业现有工艺水平及经济可行性，兼顾技术的成熟性、工况波动的适应性、协同处理能力与二次污染控制效果，优先推广成熟高效技术，并通过酒钢集团等企业试点验证技术适用性。湿式电除尘器、塑烧板除尘等技术的引入，针对甘肃省高湿度、高粉尘排放场景设计。</w:t>
      </w:r>
    </w:p>
    <w:p w14:paraId="4E3D98B3">
      <w:pPr>
        <w:pStyle w:val="4"/>
        <w:bidi w:val="0"/>
        <w:rPr>
          <w:rFonts w:hint="eastAsia"/>
          <w:lang w:val="en-US" w:eastAsia="zh-CN"/>
        </w:rPr>
      </w:pPr>
      <w:bookmarkStart w:id="29" w:name="OLE_LINK18"/>
      <w:r>
        <w:rPr>
          <w:rFonts w:hint="eastAsia"/>
          <w:lang w:val="en-US" w:eastAsia="zh-CN"/>
        </w:rPr>
        <w:t>5.2.</w:t>
      </w:r>
      <w:bookmarkEnd w:id="29"/>
      <w:r>
        <w:rPr>
          <w:rFonts w:hint="eastAsia"/>
          <w:lang w:val="en-US" w:eastAsia="zh-CN"/>
        </w:rPr>
        <w:t>4监测与管理要求</w:t>
      </w:r>
    </w:p>
    <w:p w14:paraId="7BCDF03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r>
        <w:rPr>
          <w:rFonts w:hint="eastAsia"/>
          <w:lang w:val="en-US" w:eastAsia="zh-CN"/>
        </w:rPr>
        <w:t>引用HJ75、HJ846等标准，强化CEMS和DCS的应用，确保数据真实性与可追溯性。环境台账保存期限（≥3年）参考《排污许可管理条例》，保障长期监管需求。</w:t>
      </w:r>
    </w:p>
    <w:p w14:paraId="78F491FA">
      <w:pPr>
        <w:pStyle w:val="4"/>
        <w:bidi w:val="0"/>
        <w:rPr>
          <w:rFonts w:hint="eastAsia"/>
          <w:lang w:val="en-US" w:eastAsia="zh-CN"/>
        </w:rPr>
      </w:pPr>
      <w:r>
        <w:rPr>
          <w:rFonts w:hint="eastAsia"/>
          <w:lang w:val="en-US" w:eastAsia="zh-CN"/>
        </w:rPr>
        <w:t>5.2.5无组织管控依据</w:t>
      </w:r>
    </w:p>
    <w:p w14:paraId="4A59770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r>
        <w:rPr>
          <w:rFonts w:hint="eastAsia"/>
          <w:lang w:val="en-US" w:eastAsia="zh-CN"/>
        </w:rPr>
        <w:t>结合甘肃省多风沙气候特点，提出封闭料场、车辆苫盖等抑尘措施，并通过实地调研确定厂界浓度限值（如颗粒物≤1.0mg/m³）。</w:t>
      </w:r>
    </w:p>
    <w:p w14:paraId="1C9EB26A">
      <w:pPr>
        <w:pStyle w:val="2"/>
        <w:bidi w:val="0"/>
        <w:rPr>
          <w:rFonts w:hint="default"/>
          <w:lang w:val="en-US" w:eastAsia="zh-CN"/>
        </w:rPr>
      </w:pPr>
      <w:bookmarkStart w:id="30" w:name="_Toc19885"/>
      <w:r>
        <w:rPr>
          <w:rFonts w:hint="default"/>
          <w:lang w:val="en-US" w:eastAsia="zh-CN"/>
        </w:rPr>
        <w:t>国际</w:t>
      </w:r>
      <w:r>
        <w:rPr>
          <w:rFonts w:hint="eastAsia"/>
          <w:lang w:val="en-US" w:eastAsia="zh-CN"/>
        </w:rPr>
        <w:t>、</w:t>
      </w:r>
      <w:r>
        <w:rPr>
          <w:rFonts w:hint="default"/>
          <w:lang w:val="en-US" w:eastAsia="zh-CN"/>
        </w:rPr>
        <w:t>国家</w:t>
      </w:r>
      <w:r>
        <w:rPr>
          <w:rFonts w:hint="eastAsia"/>
          <w:lang w:val="en-US" w:eastAsia="zh-CN"/>
        </w:rPr>
        <w:t>及</w:t>
      </w:r>
      <w:r>
        <w:rPr>
          <w:rFonts w:hint="default"/>
          <w:lang w:val="en-US" w:eastAsia="zh-CN"/>
        </w:rPr>
        <w:t>地区相关标准研究</w:t>
      </w:r>
      <w:bookmarkEnd w:id="30"/>
    </w:p>
    <w:p w14:paraId="3BEC65A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eastAsia" w:ascii="Times New Roman" w:hAnsi="Times New Roman" w:cs="Times New Roman"/>
          <w:lang w:val="en-US" w:eastAsia="zh-CN"/>
        </w:rPr>
      </w:pPr>
      <w:bookmarkStart w:id="31" w:name="_Toc4353"/>
      <w:r>
        <w:rPr>
          <w:rStyle w:val="28"/>
          <w:rFonts w:hint="eastAsia" w:ascii="Times New Roman" w:hAnsi="Times New Roman" w:cs="Times New Roman"/>
          <w:lang w:val="en-US" w:eastAsia="zh-CN"/>
        </w:rPr>
        <w:t>6.1</w:t>
      </w:r>
      <w:r>
        <w:rPr>
          <w:rStyle w:val="28"/>
          <w:rFonts w:hint="default" w:ascii="Times New Roman" w:hAnsi="Times New Roman" w:cs="Times New Roman"/>
          <w:lang w:val="en-US" w:eastAsia="zh-CN"/>
        </w:rPr>
        <w:t>国际相关标准</w:t>
      </w:r>
      <w:r>
        <w:rPr>
          <w:rStyle w:val="28"/>
          <w:rFonts w:hint="eastAsia" w:ascii="Times New Roman" w:hAnsi="Times New Roman" w:cs="Times New Roman"/>
          <w:lang w:val="en-US" w:eastAsia="zh-CN"/>
        </w:rPr>
        <w:t>研究</w:t>
      </w:r>
    </w:p>
    <w:bookmarkEnd w:id="31"/>
    <w:p w14:paraId="28296EDA">
      <w:pPr>
        <w:pStyle w:val="4"/>
        <w:bidi w:val="0"/>
        <w:rPr>
          <w:rFonts w:hint="eastAsia"/>
          <w:lang w:val="en-US" w:eastAsia="zh-CN"/>
        </w:rPr>
      </w:pPr>
      <w:r>
        <w:rPr>
          <w:rFonts w:hint="eastAsia"/>
          <w:lang w:val="en-US" w:eastAsia="zh-CN"/>
        </w:rPr>
        <w:t>6.1.1烧结/球团</w:t>
      </w:r>
    </w:p>
    <w:p w14:paraId="2AF64FA3">
      <w:pPr>
        <w:rPr>
          <w:rFonts w:hint="default"/>
          <w:lang w:val="en-US" w:eastAsia="zh-CN"/>
        </w:rPr>
      </w:pPr>
      <w:r>
        <w:rPr>
          <w:rFonts w:hint="default"/>
          <w:lang w:val="en-US" w:eastAsia="zh-CN"/>
        </w:rPr>
        <w:t>国际上对钢铁行业大气污染的控制，普遍强调最佳可行技术（BAT）的应用，并注重全过程管理。许多发达国家不仅关注末端治理，更强调通过过程优化、能源效率提升和资源循环利用来实现污染减排。</w:t>
      </w:r>
    </w:p>
    <w:p w14:paraId="7EF0B8A4">
      <w:pPr>
        <w:rPr>
          <w:rFonts w:hint="default"/>
          <w:lang w:val="en-US" w:eastAsia="zh-CN"/>
        </w:rPr>
      </w:pPr>
      <w:r>
        <w:rPr>
          <w:rFonts w:hint="default"/>
          <w:lang w:val="en-US" w:eastAsia="zh-CN"/>
        </w:rPr>
        <w:t>（1）欧盟：通过《工业排放指令》推动采用BAT结论，特别重视烧结烟气的多污染物协同控制技术，如活性炭吸附、选择性催化还原（SCR）等组合工艺，并对无组织排放的密闭、收集和抑尘措施有系统性规定。</w:t>
      </w:r>
    </w:p>
    <w:p w14:paraId="671D18E5">
      <w:pPr>
        <w:rPr>
          <w:rFonts w:hint="default"/>
          <w:lang w:val="en-US" w:eastAsia="zh-CN"/>
        </w:rPr>
      </w:pPr>
      <w:r>
        <w:rPr>
          <w:rFonts w:hint="default"/>
          <w:lang w:val="en-US" w:eastAsia="zh-CN"/>
        </w:rPr>
        <w:t>（2）美国：环境管理体系较为完善，强调泄漏检测与修复（LDAR）程序在无组织VOCs管控中的应用，并要求对料场、输送系统等面源采用封闭、抑尘等综合措施。</w:t>
      </w:r>
    </w:p>
    <w:p w14:paraId="023AF08F">
      <w:pPr>
        <w:rPr>
          <w:rFonts w:hint="default"/>
          <w:lang w:val="en-US" w:eastAsia="zh-CN"/>
        </w:rPr>
      </w:pPr>
      <w:r>
        <w:rPr>
          <w:rFonts w:hint="default"/>
          <w:lang w:val="en-US" w:eastAsia="zh-CN"/>
        </w:rPr>
        <w:t>（3）日本：注重能源梯级利用和工艺过程优化，通过推广烧结矿显热回收、提高烧结料层透气性等技术从源头减少燃料消耗和污染物产生量，其污染控制技术规范与节能降耗紧密结合。</w:t>
      </w:r>
    </w:p>
    <w:p w14:paraId="3B63065D">
      <w:pPr>
        <w:rPr>
          <w:rFonts w:hint="default"/>
          <w:lang w:val="en-US" w:eastAsia="zh-CN"/>
        </w:rPr>
      </w:pPr>
      <w:r>
        <w:rPr>
          <w:rFonts w:hint="default"/>
          <w:lang w:val="en-US" w:eastAsia="zh-CN"/>
        </w:rPr>
        <w:t>这些国际经验表明，先进的大气污染控制不仅依赖于高效的末端治理设施，更是一个涵盖源头预防、过程控制和末端治理的全流程、系统化工程。其技术规范通常对治理技术的选择、工艺参数的优化、运行维护的规程以及环境管理体系的建设提出详细要求，为我国及甘肃省制定技术规范提供了重要参考</w:t>
      </w:r>
      <w:r>
        <w:rPr>
          <w:rFonts w:hint="eastAsia"/>
          <w:lang w:val="en-US" w:eastAsia="zh-CN"/>
        </w:rPr>
        <w:t>。</w:t>
      </w:r>
    </w:p>
    <w:p w14:paraId="7ABE0C52">
      <w:pPr>
        <w:pStyle w:val="4"/>
        <w:bidi w:val="0"/>
      </w:pPr>
      <w:r>
        <w:rPr>
          <w:rFonts w:hint="eastAsia"/>
          <w:lang w:val="en-US" w:eastAsia="zh-CN"/>
        </w:rPr>
        <w:t>6.1.2</w:t>
      </w:r>
      <w:r>
        <w:t>炼铁</w:t>
      </w:r>
      <w:r>
        <w:rPr>
          <w:rFonts w:hint="eastAsia"/>
        </w:rPr>
        <w:t>、炼钢及轧钢工序</w:t>
      </w:r>
    </w:p>
    <w:p w14:paraId="01D84E26">
      <w:pPr>
        <w:bidi w:val="0"/>
        <w:rPr>
          <w:rFonts w:hint="eastAsia"/>
        </w:rPr>
      </w:pPr>
      <w:r>
        <w:rPr>
          <w:rFonts w:hint="eastAsia"/>
        </w:rPr>
        <w:t>在炼铁、炼钢和轧钢工序，国际上的技术规范同样体现了对全过程精细化管理的要求：</w:t>
      </w:r>
    </w:p>
    <w:p w14:paraId="31B4DEC0">
      <w:pPr>
        <w:bidi w:val="0"/>
        <w:rPr>
          <w:rFonts w:hint="eastAsia"/>
        </w:rPr>
      </w:pPr>
      <w:r>
        <w:rPr>
          <w:rFonts w:hint="eastAsia"/>
        </w:rPr>
        <w:t>（1）高炉炼铁：强调高炉煤气干法除尘、TRT发电（炉顶余压发电）等资源能源回收利用技术的应用，并要求出铁场、矿槽等产尘点的全封闭、高效收集与净化。</w:t>
      </w:r>
    </w:p>
    <w:p w14:paraId="51FCD582">
      <w:pPr>
        <w:bidi w:val="0"/>
        <w:rPr>
          <w:rFonts w:hint="eastAsia"/>
        </w:rPr>
      </w:pPr>
      <w:r>
        <w:rPr>
          <w:rFonts w:hint="eastAsia"/>
        </w:rPr>
        <w:t>（2）炼钢：转炉煤气干法（LT法）净化回收、电炉第四孔+密闭罩+屋顶罩的二次、三次烟气收集系统被视为最佳实践。技术规范会详细规定集气方式、除尘器选型以及确保收集效率的操作规程。</w:t>
      </w:r>
    </w:p>
    <w:p w14:paraId="183762F3">
      <w:pPr>
        <w:bidi w:val="0"/>
        <w:rPr>
          <w:rFonts w:hint="eastAsia"/>
        </w:rPr>
      </w:pPr>
      <w:r>
        <w:rPr>
          <w:rFonts w:hint="eastAsia"/>
        </w:rPr>
        <w:t>（3）轧钢：侧重于热处理炉的低氮燃烧技术应用，以及精轧机、酸洗、涂层等机组产生的油雾、酸雾、VOCs的特效收集与治理技术的选择与运行维护要求。</w:t>
      </w:r>
    </w:p>
    <w:p w14:paraId="51293A58">
      <w:pPr>
        <w:bidi w:val="0"/>
      </w:pPr>
      <w:r>
        <w:rPr>
          <w:rFonts w:hint="eastAsia"/>
        </w:rPr>
        <w:t>国际技术规范的特点在于其技术导向性和可操作性，为核心生产工艺配置怎样的污染控制技术提供了明确的技术路径和性能参数要求，而非仅仅规定一个排放终点限值。</w:t>
      </w:r>
    </w:p>
    <w:p w14:paraId="71D98C3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eastAsia" w:ascii="Times New Roman" w:hAnsi="Times New Roman" w:cs="Times New Roman"/>
          <w:lang w:val="en-US" w:eastAsia="zh-CN"/>
        </w:rPr>
      </w:pPr>
      <w:bookmarkStart w:id="32" w:name="_Toc21625"/>
      <w:r>
        <w:rPr>
          <w:rStyle w:val="28"/>
          <w:rFonts w:hint="eastAsia" w:ascii="Times New Roman" w:hAnsi="Times New Roman" w:cs="Times New Roman"/>
          <w:lang w:val="en-US" w:eastAsia="zh-CN"/>
        </w:rPr>
        <w:t>6.2国家相关标准研究</w:t>
      </w:r>
    </w:p>
    <w:bookmarkEnd w:id="32"/>
    <w:p w14:paraId="6FAD6E22">
      <w:pPr>
        <w:shd w:val="clear"/>
        <w:rPr>
          <w:rFonts w:hint="eastAsia"/>
          <w:highlight w:val="none"/>
          <w:lang w:val="en-US" w:eastAsia="zh-CN"/>
        </w:rPr>
      </w:pPr>
      <w:r>
        <w:rPr>
          <w:rFonts w:hint="eastAsia"/>
          <w:highlight w:val="none"/>
          <w:lang w:val="en-US" w:eastAsia="zh-CN"/>
        </w:rPr>
        <w:t>我国近年来密集发布了一系列旨在推动钢铁行业绿色发展的技术政策、指南和规范，为本标准制定提供了重要依据。</w:t>
      </w:r>
    </w:p>
    <w:p w14:paraId="3A4A0866">
      <w:pPr>
        <w:shd w:val="clear"/>
        <w:rPr>
          <w:rFonts w:hint="eastAsia"/>
          <w:highlight w:val="none"/>
          <w:lang w:val="en-US" w:eastAsia="zh-CN"/>
        </w:rPr>
      </w:pPr>
      <w:r>
        <w:rPr>
          <w:rFonts w:hint="eastAsia"/>
          <w:highlight w:val="none"/>
          <w:lang w:val="en-US" w:eastAsia="zh-CN"/>
        </w:rPr>
        <w:t>（1）《关于推进实施钢铁行业超低排放的意见》（环大气〔2019〕35号）：这是指导当前我国钢铁行业污染治理的纲领性文件。其核心在于“全过程、全流程、全覆盖”的理念，不仅对有组织排放的治理技术路线（如烧结机头烟气“电除尘+脱硫+脱硝”的组合技术）提出要求，更首次系统性地对物料储存、输送、生产工艺过程的无组织排放提出了密闭、封闭、高效收集等精准管控要求，并对清洁运输方式的比例提出了明确目标。该文件为本标准确立总体控制原则和技术路线提供了顶层设计。</w:t>
      </w:r>
    </w:p>
    <w:p w14:paraId="4F8706E8">
      <w:pPr>
        <w:shd w:val="clear"/>
        <w:rPr>
          <w:rFonts w:hint="eastAsia"/>
          <w:highlight w:val="none"/>
          <w:lang w:val="en-US" w:eastAsia="zh-CN"/>
        </w:rPr>
      </w:pPr>
      <w:r>
        <w:rPr>
          <w:rFonts w:hint="eastAsia"/>
          <w:highlight w:val="none"/>
          <w:lang w:val="en-US" w:eastAsia="zh-CN"/>
        </w:rPr>
        <w:t>（2）《排污许可证申请与核发技术规范钢铁工业》（HJ846-2017）：该规范是钢铁企业环境管理的核心制度载体。它明确了钢铁行业各类污染源的产排污环节、治理技术与管理要求，指导企业申报许可排放限值、自行监测方案和环境管理台账。本标准中有组织与无组织排放源的排查、清单建立、治理技术选择及环境管理要求等内容，与HJ846的要求保持了高度一致和衔接。</w:t>
      </w:r>
    </w:p>
    <w:p w14:paraId="16D5A395">
      <w:pPr>
        <w:shd w:val="clear"/>
        <w:rPr>
          <w:rFonts w:hint="eastAsia"/>
          <w:highlight w:val="none"/>
          <w:lang w:val="en-US" w:eastAsia="zh-CN"/>
        </w:rPr>
      </w:pPr>
      <w:r>
        <w:rPr>
          <w:rFonts w:hint="eastAsia"/>
          <w:highlight w:val="none"/>
          <w:lang w:val="en-US" w:eastAsia="zh-CN"/>
        </w:rPr>
        <w:t>（3）《钢铁企业超低排放改造技术指南》：该指南详细介绍了针对烧结（球团）、炼焦、炼铁、炼钢、轧钢等各工序实现超低排放可供选用的具体技术路线、技术原理、适用条件及运维要点，如活性炭（焦）、SCR/SNCR、湿式电除尘、预荷电袋式除尘器等技术的应用，为本标准中推荐的技术方案提供了坚实的技术支撑和可行性验证。</w:t>
      </w:r>
    </w:p>
    <w:p w14:paraId="40AD1E34">
      <w:pPr>
        <w:shd w:val="clear"/>
        <w:rPr>
          <w:rFonts w:hint="eastAsia"/>
          <w:highlight w:val="none"/>
          <w:lang w:val="en-US" w:eastAsia="zh-CN"/>
        </w:rPr>
      </w:pPr>
      <w:r>
        <w:rPr>
          <w:rFonts w:hint="eastAsia"/>
          <w:highlight w:val="none"/>
          <w:lang w:val="en-US" w:eastAsia="zh-CN"/>
        </w:rPr>
        <w:t>（4）《排污单位自行监测技术指南钢铁工业及炼焦化学工业》（HJ878-2017）和《排污单位污染物排放口监测点位设置技术规范》（HJ1405-2024）：这两个技术规范对监测点位的设置、监测指标、监测频次和技术要求做出了详细规定，为本标准第7章“污染物监测要求”提供了直接的技术依据，确保监测数据的代表性和准确性。</w:t>
      </w:r>
    </w:p>
    <w:p w14:paraId="12A719B7">
      <w:pPr>
        <w:shd w:val="clear"/>
        <w:rPr>
          <w:rFonts w:hint="eastAsia"/>
          <w:highlight w:val="none"/>
          <w:lang w:val="en-US" w:eastAsia="zh-CN"/>
        </w:rPr>
      </w:pPr>
      <w:r>
        <w:rPr>
          <w:rFonts w:hint="eastAsia"/>
          <w:highlight w:val="none"/>
          <w:lang w:val="en-US" w:eastAsia="zh-CN"/>
        </w:rPr>
        <w:t>国家层面的这些技术政策与规范，共同构成了一个从目标原则到技术路径，再到管理监测的完整技术体系，为本标准的制定提供了全面的技术依据和政策框架。</w:t>
      </w:r>
    </w:p>
    <w:p w14:paraId="2CAB251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eastAsia" w:ascii="Times New Roman" w:hAnsi="Times New Roman" w:cs="Times New Roman"/>
          <w:lang w:val="en-US" w:eastAsia="zh-CN"/>
        </w:rPr>
      </w:pPr>
      <w:bookmarkStart w:id="33" w:name="_Toc12713"/>
      <w:r>
        <w:rPr>
          <w:rStyle w:val="28"/>
          <w:rFonts w:hint="eastAsia" w:ascii="Times New Roman" w:hAnsi="Times New Roman" w:cs="Times New Roman"/>
          <w:lang w:val="en-US" w:eastAsia="zh-CN"/>
        </w:rPr>
        <w:t>6.3地方相关标准研究</w:t>
      </w:r>
    </w:p>
    <w:bookmarkEnd w:id="33"/>
    <w:p w14:paraId="200F0E65">
      <w:pPr>
        <w:rPr>
          <w:rFonts w:hint="eastAsia"/>
          <w:lang w:val="en-US" w:eastAsia="zh-CN"/>
        </w:rPr>
      </w:pPr>
      <w:r>
        <w:rPr>
          <w:rFonts w:hint="eastAsia"/>
          <w:lang w:val="en-US" w:eastAsia="zh-CN"/>
        </w:rPr>
        <w:t>国内钢铁产能在区域上分布集中，河北、山东、江苏、山西等省份在推动钢铁行业超低排放改造方面先行先试，积累了丰富的实践经验。虽然各地发布的标准主要为排放标准，但其编制说明、技术评估报告以及改造过程中的技术遴选、工程实践和管理模式，为本技术规范的制定提供了宝贵的实践经验。</w:t>
      </w:r>
    </w:p>
    <w:p w14:paraId="5FB92719">
      <w:pPr>
        <w:rPr>
          <w:rFonts w:hint="eastAsia"/>
          <w:lang w:val="en-US" w:eastAsia="zh-CN"/>
        </w:rPr>
      </w:pPr>
      <w:r>
        <w:rPr>
          <w:rFonts w:hint="eastAsia"/>
          <w:lang w:val="en-US" w:eastAsia="zh-CN"/>
        </w:rPr>
        <w:t>（1）河北省、山东省：作为钢铁大省，其超低排放改造工作启动早、范围广。其在无组织排放管控方面的经验尤为突出，例如大规模推行物料密闭储存、管状带式输送机、超细雾炮抑尘、无组织排放集中控制系统等技术的应用，证明了大规模实施全面无组织管控的技术和经济可行性。</w:t>
      </w:r>
    </w:p>
    <w:p w14:paraId="0A75F02F">
      <w:pPr>
        <w:rPr>
          <w:rFonts w:hint="eastAsia"/>
          <w:lang w:val="en-US" w:eastAsia="zh-CN"/>
        </w:rPr>
      </w:pPr>
      <w:r>
        <w:rPr>
          <w:rFonts w:hint="eastAsia"/>
          <w:lang w:val="en-US" w:eastAsia="zh-CN"/>
        </w:rPr>
        <w:t>（2）山西省：其地方标准配套的技术指南中对干熄焦（CDQ）、烧结烟气循环等节能减排技术的推广要求，体现了污染控制与碳减排的协同。</w:t>
      </w:r>
    </w:p>
    <w:p w14:paraId="56F9CB72">
      <w:pPr>
        <w:rPr>
          <w:rFonts w:hint="eastAsia"/>
          <w:lang w:val="en-US" w:eastAsia="zh-CN"/>
        </w:rPr>
      </w:pPr>
      <w:r>
        <w:rPr>
          <w:rFonts w:hint="eastAsia"/>
          <w:lang w:val="en-US" w:eastAsia="zh-CN"/>
        </w:rPr>
        <w:t>（3）江苏省：在钢铁企业环保绩效分级评估和电量调控等差异化政策方面进行了探索，通过政策激励引导企业选择稳定可靠的先进治理技术并加强运行管理。</w:t>
      </w:r>
    </w:p>
    <w:p w14:paraId="4353412D">
      <w:pPr>
        <w:rPr>
          <w:rFonts w:hint="eastAsia"/>
          <w:lang w:val="en-US" w:eastAsia="zh-CN"/>
        </w:rPr>
      </w:pPr>
      <w:r>
        <w:rPr>
          <w:rFonts w:hint="eastAsia"/>
          <w:lang w:val="en-US" w:eastAsia="zh-CN"/>
        </w:rPr>
        <w:t>这些省份的实践表明，一套成功的污染控制技术规范必须贴近行业实际、具备技术可及性和经济可行性，并且需要配套完善的环境管理、监测监控和执法监管体系才能有效落地。甘肃省可以充分借鉴这些先行地区的技术经验和教训，选择适合本省企业发展阶段和气候特点的适用技术，制定出更具操作性的技术规范。</w:t>
      </w:r>
    </w:p>
    <w:p w14:paraId="7C5F6373">
      <w:pPr>
        <w:pStyle w:val="2"/>
        <w:bidi w:val="0"/>
        <w:rPr>
          <w:rFonts w:hint="eastAsia"/>
          <w:lang w:val="en-US" w:eastAsia="zh-CN"/>
        </w:rPr>
      </w:pPr>
      <w:bookmarkStart w:id="34" w:name="_Toc29574"/>
      <w:r>
        <w:rPr>
          <w:rFonts w:hint="eastAsia"/>
          <w:lang w:val="en-US" w:eastAsia="zh-CN"/>
        </w:rPr>
        <w:t>本标准实施的可行性分析</w:t>
      </w:r>
      <w:bookmarkEnd w:id="34"/>
    </w:p>
    <w:p w14:paraId="6F7328E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default" w:ascii="Times New Roman" w:hAnsi="Times New Roman" w:cs="Times New Roman"/>
          <w:lang w:val="en-US" w:eastAsia="zh-CN"/>
        </w:rPr>
      </w:pPr>
      <w:bookmarkStart w:id="35" w:name="_Toc28950"/>
      <w:r>
        <w:rPr>
          <w:rStyle w:val="28"/>
          <w:rFonts w:hint="eastAsia" w:ascii="Times New Roman" w:hAnsi="Times New Roman" w:cs="Times New Roman"/>
          <w:lang w:val="en-US" w:eastAsia="zh-CN"/>
        </w:rPr>
        <w:t>7.1环境效益、社会效益分析</w:t>
      </w:r>
    </w:p>
    <w:bookmarkEnd w:id="35"/>
    <w:p w14:paraId="4813AEEF">
      <w:pPr>
        <w:pStyle w:val="4"/>
        <w:bidi w:val="0"/>
        <w:rPr>
          <w:rFonts w:hint="eastAsia" w:ascii="Calibri" w:hAnsi="Calibri" w:eastAsia="宋体" w:cs="Times New Roman"/>
          <w:b w:val="0"/>
          <w:bCs w:val="0"/>
          <w:kern w:val="2"/>
          <w:sz w:val="24"/>
          <w:szCs w:val="22"/>
          <w:lang w:val="en-US" w:eastAsia="zh-CN" w:bidi="ar-SA"/>
        </w:rPr>
      </w:pPr>
      <w:r>
        <w:rPr>
          <w:rFonts w:hint="eastAsia" w:ascii="Calibri" w:hAnsi="Calibri" w:eastAsia="宋体" w:cs="Times New Roman"/>
          <w:b w:val="0"/>
          <w:bCs w:val="0"/>
          <w:kern w:val="2"/>
          <w:sz w:val="24"/>
          <w:szCs w:val="22"/>
          <w:lang w:val="en-US" w:eastAsia="zh-CN" w:bidi="ar-SA"/>
        </w:rPr>
        <w:t>本标准的制定与实施，预期将产生显著的环境效益和广泛的社会效益</w:t>
      </w:r>
      <w:r>
        <w:rPr>
          <w:rFonts w:hint="eastAsia" w:eastAsia="宋体" w:cs="Times New Roman"/>
          <w:b w:val="0"/>
          <w:bCs w:val="0"/>
          <w:kern w:val="2"/>
          <w:sz w:val="24"/>
          <w:szCs w:val="22"/>
          <w:lang w:val="en-US" w:eastAsia="zh-CN" w:bidi="ar-SA"/>
        </w:rPr>
        <w:t>。</w:t>
      </w:r>
    </w:p>
    <w:p w14:paraId="40B43A23">
      <w:pPr>
        <w:pStyle w:val="4"/>
        <w:bidi w:val="0"/>
      </w:pPr>
      <w:r>
        <w:rPr>
          <w:rFonts w:hint="eastAsia"/>
          <w:lang w:val="en-US" w:eastAsia="zh-CN"/>
        </w:rPr>
        <w:t>7.1.1</w:t>
      </w:r>
      <w:r>
        <w:rPr>
          <w:lang w:val="en-US" w:eastAsia="zh-CN"/>
        </w:rPr>
        <w:t>环境效益</w:t>
      </w:r>
    </w:p>
    <w:p w14:paraId="548A2342">
      <w:pPr>
        <w:bidi w:val="0"/>
        <w:rPr>
          <w:rFonts w:hint="eastAsia"/>
          <w:lang w:val="en-US" w:eastAsia="zh-CN"/>
        </w:rPr>
      </w:pPr>
      <w:r>
        <w:rPr>
          <w:rFonts w:hint="eastAsia"/>
          <w:lang w:val="en-US" w:eastAsia="zh-CN"/>
        </w:rPr>
        <w:t>（1）推动污染治理技术进步：通过推荐先进、成熟的污染控制技术路线，将引导甘肃省钢铁企业淘汰落后治理设施，进行环保升级，全面提升行业污染治理技术的整体水平和稳定性。</w:t>
      </w:r>
    </w:p>
    <w:p w14:paraId="395F10DC">
      <w:pPr>
        <w:bidi w:val="0"/>
        <w:rPr>
          <w:rFonts w:hint="eastAsia"/>
          <w:lang w:val="en-US" w:eastAsia="zh-CN"/>
        </w:rPr>
      </w:pPr>
      <w:r>
        <w:rPr>
          <w:rFonts w:hint="eastAsia"/>
          <w:lang w:val="en-US" w:eastAsia="zh-CN"/>
        </w:rPr>
        <w:t>（2）实现多污染物协同减排：本标准推荐的技术路线（如活性炭脱硫脱硝一体化技术）本身具备多污染物协同去除能力，可在削减常规污染物的同时，有效控制二噁英、重金属等特征污染物。</w:t>
      </w:r>
    </w:p>
    <w:p w14:paraId="5B286CF8">
      <w:pPr>
        <w:bidi w:val="0"/>
        <w:rPr>
          <w:rFonts w:hint="eastAsia"/>
          <w:lang w:val="en-US" w:eastAsia="zh-CN"/>
        </w:rPr>
      </w:pPr>
      <w:r>
        <w:rPr>
          <w:rFonts w:hint="eastAsia"/>
          <w:lang w:val="en-US" w:eastAsia="zh-CN"/>
        </w:rPr>
        <w:t>（3）提升无组织精细化管理水平：通过对物料储存、输送和生产工艺过程无组织排放提出系统性的密闭、封闭、收集和净化要求，将彻底改变以往无组织排放管控薄弱、主要依靠洒水的局面，实现从无组织向有组织治理的转变，大幅减少无组织排放总量。</w:t>
      </w:r>
    </w:p>
    <w:p w14:paraId="5B529D5B">
      <w:pPr>
        <w:bidi w:val="0"/>
        <w:rPr>
          <w:rFonts w:hint="eastAsia"/>
          <w:lang w:val="en-US" w:eastAsia="zh-CN"/>
        </w:rPr>
      </w:pPr>
      <w:r>
        <w:rPr>
          <w:rFonts w:hint="eastAsia"/>
          <w:lang w:val="en-US" w:eastAsia="zh-CN"/>
        </w:rPr>
        <w:t>（4）促进区域环境空气质量改善：钢铁企业是甘肃省工业大气污染物的主要排放源之一。本标准全面实施后，通过对有组织和无组织排放的有效控制，将显著降低钢铁企业对周边地区PM2.5、SO₂、NOx等污染物的贡献，有助于甘肃省持续改善环境空气质量，保障公众健康。</w:t>
      </w:r>
    </w:p>
    <w:p w14:paraId="2B91E8EC">
      <w:pPr>
        <w:pStyle w:val="4"/>
        <w:bidi w:val="0"/>
        <w:rPr>
          <w:rFonts w:hint="eastAsia"/>
          <w:lang w:val="en-US" w:eastAsia="zh-CN"/>
        </w:rPr>
      </w:pPr>
      <w:r>
        <w:rPr>
          <w:rFonts w:hint="eastAsia"/>
          <w:lang w:val="en-US" w:eastAsia="zh-CN"/>
        </w:rPr>
        <w:t>7.1.2社会效益</w:t>
      </w:r>
    </w:p>
    <w:p w14:paraId="346E898A">
      <w:pPr>
        <w:bidi w:val="0"/>
        <w:rPr>
          <w:rFonts w:hint="eastAsia"/>
          <w:lang w:val="en-US" w:eastAsia="zh-CN"/>
        </w:rPr>
      </w:pPr>
      <w:r>
        <w:rPr>
          <w:rFonts w:hint="eastAsia"/>
          <w:lang w:val="en-US" w:eastAsia="zh-CN"/>
        </w:rPr>
        <w:t>（1）引导行业绿色低碳转型：本标准倡导的源头削减、过程控制和末端治理相结合的全过程治理原则，与绿色制造、可持续发展的理念高度契合，将推动钢铁这一传统基础工业向绿色化、低碳化方向发展。</w:t>
      </w:r>
    </w:p>
    <w:p w14:paraId="17A2FF3D">
      <w:pPr>
        <w:bidi w:val="0"/>
        <w:rPr>
          <w:rFonts w:hint="eastAsia"/>
          <w:lang w:val="en-US" w:eastAsia="zh-CN"/>
        </w:rPr>
      </w:pPr>
      <w:r>
        <w:rPr>
          <w:rFonts w:hint="eastAsia"/>
          <w:lang w:val="en-US" w:eastAsia="zh-CN"/>
        </w:rPr>
        <w:t>（2）提升企业环境管理能力和竞争力：实施本标准将倒逼企业建立系统、规范的环境管理制度，完善污染治理设施，提升自行监测和环境风险防控能力。达到规范要求的企业，其环保绩效将得到提升，在未来的绿色信贷、差别化电价、错峰生产等政策中更具优势，可持续发展能力增强。</w:t>
      </w:r>
    </w:p>
    <w:p w14:paraId="014C382E">
      <w:pPr>
        <w:bidi w:val="0"/>
      </w:pPr>
      <w:r>
        <w:rPr>
          <w:rFonts w:hint="eastAsia"/>
          <w:lang w:val="en-US" w:eastAsia="zh-CN"/>
        </w:rPr>
        <w:t>（3）为环境管理提供技术支撑：本标准为生态环境主管部门提供了科学、清晰的技术依据，便于其对钢铁企业污染防治设施的建设、运行和效果进行评估和监管，提升环境管理的精准性和有效性。</w:t>
      </w:r>
    </w:p>
    <w:p w14:paraId="550AF18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Style w:val="28"/>
          <w:rFonts w:hint="default" w:ascii="Times New Roman" w:hAnsi="Times New Roman" w:cs="Times New Roman"/>
          <w:lang w:val="en-US" w:eastAsia="zh-CN"/>
        </w:rPr>
      </w:pPr>
      <w:bookmarkStart w:id="36" w:name="_Toc156"/>
      <w:r>
        <w:rPr>
          <w:rStyle w:val="28"/>
          <w:rFonts w:hint="eastAsia" w:ascii="Times New Roman" w:hAnsi="Times New Roman" w:cs="Times New Roman"/>
          <w:lang w:val="en-US" w:eastAsia="zh-CN"/>
        </w:rPr>
        <w:t>7.2技术经济可行性分析</w:t>
      </w:r>
    </w:p>
    <w:bookmarkEnd w:id="36"/>
    <w:p w14:paraId="51ED64EA">
      <w:pPr>
        <w:bidi w:val="0"/>
        <w:rPr>
          <w:rFonts w:hint="eastAsia"/>
          <w:lang w:val="en-US" w:eastAsia="zh-CN"/>
        </w:rPr>
      </w:pPr>
      <w:r>
        <w:rPr>
          <w:rFonts w:hint="eastAsia"/>
          <w:lang w:val="en-US" w:eastAsia="zh-CN"/>
        </w:rPr>
        <w:t>本标准的实施在技术和经济上具备充分可行性。</w:t>
      </w:r>
    </w:p>
    <w:p w14:paraId="36E32E7B">
      <w:pPr>
        <w:pStyle w:val="4"/>
        <w:bidi w:val="0"/>
        <w:rPr>
          <w:rFonts w:hint="eastAsia"/>
          <w:lang w:val="en-US" w:eastAsia="zh-CN"/>
        </w:rPr>
      </w:pPr>
      <w:r>
        <w:rPr>
          <w:rFonts w:hint="eastAsia"/>
          <w:lang w:val="en-US" w:eastAsia="zh-CN"/>
        </w:rPr>
        <w:t>7.2.1技术可行性方面</w:t>
      </w:r>
    </w:p>
    <w:p w14:paraId="1E7BFDB8">
      <w:pPr>
        <w:bidi w:val="0"/>
        <w:rPr>
          <w:rFonts w:hint="eastAsia"/>
          <w:lang w:val="en-US" w:eastAsia="zh-CN"/>
        </w:rPr>
      </w:pPr>
      <w:r>
        <w:rPr>
          <w:rFonts w:hint="eastAsia"/>
          <w:lang w:val="en-US" w:eastAsia="zh-CN"/>
        </w:rPr>
        <w:t>本标准所推荐的有组织排放治理技术（如高效袋式除尘、活性炭/SCR脱硫脱硝等）和无组织排放控制技术（如料场密闭、管状带式输送、超细雾炮、干雾抑尘等），均为目前国内钢铁行业超低排放改造中广泛采用的成熟、稳定、可靠的技术。这些技术在国内众多大型钢铁企业（包括甘肃省的酒钢集团）已有大量成功的应用案例，其处理效果、运行稳定性、与主工艺的适配性均已得到工程实践的验证。甘肃省内钢铁企业规模集中，便于先进技术的推广应用和集中监管。因此，本标准提出的技术要求在当前技术条件下是完全可以实现的。</w:t>
      </w:r>
    </w:p>
    <w:p w14:paraId="66648455">
      <w:pPr>
        <w:pStyle w:val="4"/>
        <w:bidi w:val="0"/>
        <w:rPr>
          <w:rFonts w:hint="eastAsia"/>
          <w:lang w:val="en-US" w:eastAsia="zh-CN"/>
        </w:rPr>
      </w:pPr>
      <w:r>
        <w:rPr>
          <w:rFonts w:hint="eastAsia"/>
          <w:lang w:val="en-US" w:eastAsia="zh-CN"/>
        </w:rPr>
        <w:t>7.2.2经济可行性方面</w:t>
      </w:r>
    </w:p>
    <w:p w14:paraId="7545E1BB">
      <w:pPr>
        <w:bidi w:val="0"/>
        <w:rPr>
          <w:rFonts w:hint="eastAsia"/>
          <w:lang w:val="en-US" w:eastAsia="zh-CN"/>
        </w:rPr>
      </w:pPr>
      <w:r>
        <w:rPr>
          <w:rFonts w:hint="eastAsia"/>
          <w:lang w:val="en-US" w:eastAsia="zh-CN"/>
        </w:rPr>
        <w:t>（1）投资与运行成本：实施环保改造需要一次性投入和持续的运行费用。以国内同类企业超低排放改造经验为参考，实现全流程超低排放，吨钢投资成本约为200-300元，吨钢运行成本增加约50-100元。尽管初始投入较大，但考虑到近年来钢铁行业整体利润水平的支撑，企业具备一定的投资能力。</w:t>
      </w:r>
    </w:p>
    <w:p w14:paraId="3A5D8B1F">
      <w:pPr>
        <w:bidi w:val="0"/>
        <w:rPr>
          <w:rFonts w:hint="eastAsia"/>
          <w:lang w:val="en-US" w:eastAsia="zh-CN"/>
        </w:rPr>
      </w:pPr>
      <w:r>
        <w:rPr>
          <w:rFonts w:hint="eastAsia"/>
          <w:lang w:val="en-US" w:eastAsia="zh-CN"/>
        </w:rPr>
        <w:t>（2）经济效益与成本对冲：环保投入并非纯消耗。首先，先进的治理技术可回收资源（如烧结烟气脱硫副产物石膏、除尘收集的粉尘），产生一定的经济效益。其次，高效的污染控制有助于企业避免因环保不达标带来的罚款、限产停产损失。更重要的是，甘肃省已出台并实施差异化电价、环保税减免、绿色金融等配套经济政策，对按期完成超低排放改造的企业给予经济激励，这将显著降低企业的实际环保成本，对冲部分新增运行费用。</w:t>
      </w:r>
    </w:p>
    <w:p w14:paraId="0C7B7818">
      <w:pPr>
        <w:bidi w:val="0"/>
        <w:rPr>
          <w:rFonts w:hint="eastAsia"/>
          <w:lang w:val="en-US" w:eastAsia="zh-CN"/>
        </w:rPr>
      </w:pPr>
      <w:r>
        <w:rPr>
          <w:rFonts w:hint="eastAsia"/>
          <w:lang w:val="en-US" w:eastAsia="zh-CN"/>
        </w:rPr>
        <w:t>（3）企业案例支撑：以酒钢集团的超低排放改造实践为例，其已实施的烧结机头烟气治理、料场封闭等项目，在投入运行后，环境效益显著，并已验证了技术路线的可靠性，为本省其他企业提供了可复制的样板，降低了技术风险和创新成本。</w:t>
      </w:r>
    </w:p>
    <w:p w14:paraId="3E5C041C">
      <w:pPr>
        <w:bidi w:val="0"/>
        <w:rPr>
          <w:rFonts w:hint="default"/>
          <w:lang w:val="en-US" w:eastAsia="zh-CN"/>
        </w:rPr>
      </w:pPr>
      <w:r>
        <w:rPr>
          <w:rFonts w:hint="eastAsia"/>
          <w:lang w:val="en-US" w:eastAsia="zh-CN"/>
        </w:rPr>
        <w:t>综合来看，虽然本标准的实施会增加企业的环保投入，但从技术成熟度、政策支持力度、行业承受能力以及带来的环境和社会效益等多方面权衡，其在经济和技术上都是切实可行的。标准的推行将促使甘肃省钢铁行业步入以高水平保护推动高质量发展的新阶段。</w:t>
      </w:r>
    </w:p>
    <w:p w14:paraId="3A94B1F3">
      <w:pPr>
        <w:pStyle w:val="2"/>
        <w:bidi w:val="0"/>
        <w:rPr>
          <w:rFonts w:hint="default"/>
          <w:lang w:val="en-US" w:eastAsia="zh-CN"/>
        </w:rPr>
      </w:pPr>
      <w:bookmarkStart w:id="37" w:name="_Toc1114"/>
      <w:r>
        <w:rPr>
          <w:rFonts w:hint="eastAsia"/>
          <w:lang w:val="en-US" w:eastAsia="zh-CN"/>
        </w:rPr>
        <w:t>标准实施的建议</w:t>
      </w:r>
      <w:bookmarkEnd w:id="37"/>
    </w:p>
    <w:p w14:paraId="147E66C3">
      <w:pPr>
        <w:rPr>
          <w:rFonts w:hint="default"/>
          <w:lang w:val="en-US" w:eastAsia="zh-CN"/>
        </w:rPr>
      </w:pPr>
      <w:r>
        <w:rPr>
          <w:rFonts w:hint="default"/>
          <w:lang w:val="en-US" w:eastAsia="zh-CN"/>
        </w:rPr>
        <w:t>（1）加大宣贯培训。本标准发布实施后，建议全省各级生态环境主管部门加大宣贯力度，组织执法单位、钢铁企业排污单位相关人员培训，使管理部门和排污单位尽快掌握本标准要求，更好指导环境管理和污染防治实践活动。</w:t>
      </w:r>
    </w:p>
    <w:p w14:paraId="1B0A9B6F">
      <w:pPr>
        <w:rPr>
          <w:rFonts w:hint="default"/>
          <w:lang w:val="en-US" w:eastAsia="zh-CN"/>
        </w:rPr>
      </w:pPr>
      <w:r>
        <w:rPr>
          <w:rFonts w:hint="default"/>
          <w:lang w:val="en-US" w:eastAsia="zh-CN"/>
        </w:rPr>
        <w:t>（2）加强日常监督。本标准发布实施后，建议全省各级生态环境主管部门加强对钢铁企业排污行为的日常监督管理，严格按照法定监测标准和方法开展执法活动，督促钢铁工业排污单位全面稳定达标排放，促进</w:t>
      </w:r>
      <w:r>
        <w:rPr>
          <w:rFonts w:hint="eastAsia"/>
          <w:lang w:val="en-US" w:eastAsia="zh-CN"/>
        </w:rPr>
        <w:t>甘肃</w:t>
      </w:r>
      <w:r>
        <w:rPr>
          <w:rFonts w:hint="default"/>
          <w:lang w:val="en-US" w:eastAsia="zh-CN"/>
        </w:rPr>
        <w:t>省环境空气质量持续改善。</w:t>
      </w: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0780C">
    <w:pPr>
      <w:pStyle w:val="10"/>
      <w:rPr>
        <w:rFonts w:ascii="Times New Roman" w:hAnsi="Times New Roman"/>
      </w:rPr>
    </w:pPr>
  </w:p>
  <w:p w14:paraId="0135600E">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0526935"/>
    </w:sdtPr>
    <w:sdtEndPr>
      <w:rPr>
        <w:rFonts w:ascii="Times New Roman" w:hAnsi="Times New Roman"/>
      </w:rPr>
    </w:sdtEndPr>
    <w:sdtContent>
      <w:p w14:paraId="1E6D0975">
        <w:pPr>
          <w:pStyle w:val="10"/>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10</w:t>
        </w:r>
        <w:r>
          <w:rPr>
            <w:rFonts w:ascii="Times New Roman" w:hAnsi="Times New Roman"/>
          </w:rPr>
          <w:fldChar w:fldCharType="end"/>
        </w:r>
      </w:p>
    </w:sdtContent>
  </w:sdt>
  <w:p w14:paraId="4FEBB07B">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CEFAF3"/>
    <w:multiLevelType w:val="multilevel"/>
    <w:tmpl w:val="A4CEFAF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9"/>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40"/>
      <w:suff w:val="nothing"/>
      <w:lvlText w:val="%1.%2.%3　"/>
      <w:lvlJc w:val="left"/>
      <w:pPr>
        <w:ind w:left="0" w:firstLine="0"/>
      </w:pPr>
      <w:rPr>
        <w:rFonts w:hint="eastAsia" w:ascii="黑体" w:hAnsi="Times New Roman" w:eastAsia="黑体"/>
        <w:b w:val="0"/>
        <w:i w:val="0"/>
        <w:sz w:val="21"/>
      </w:rPr>
    </w:lvl>
    <w:lvl w:ilvl="3" w:tentative="0">
      <w:start w:val="1"/>
      <w:numFmt w:val="decimal"/>
      <w:pStyle w:val="41"/>
      <w:suff w:val="nothing"/>
      <w:lvlText w:val="%1.%2.%3.%4　"/>
      <w:lvlJc w:val="left"/>
      <w:pPr>
        <w:ind w:left="0" w:firstLine="0"/>
      </w:pPr>
      <w:rPr>
        <w:rFonts w:hint="eastAsia" w:ascii="黑体" w:hAnsi="Times New Roman" w:eastAsia="黑体"/>
        <w:b w:val="0"/>
        <w:i w:val="0"/>
        <w:sz w:val="21"/>
      </w:rPr>
    </w:lvl>
    <w:lvl w:ilvl="4" w:tentative="0">
      <w:start w:val="1"/>
      <w:numFmt w:val="decimal"/>
      <w:pStyle w:val="42"/>
      <w:suff w:val="nothing"/>
      <w:lvlText w:val="%1.%2.%3.%4.%5　"/>
      <w:lvlJc w:val="left"/>
      <w:pPr>
        <w:ind w:left="0" w:firstLine="0"/>
      </w:pPr>
      <w:rPr>
        <w:rFonts w:hint="eastAsia" w:ascii="黑体" w:hAnsi="Times New Roman" w:eastAsia="黑体"/>
        <w:b w:val="0"/>
        <w:i w:val="0"/>
        <w:sz w:val="21"/>
      </w:rPr>
    </w:lvl>
    <w:lvl w:ilvl="5" w:tentative="0">
      <w:start w:val="1"/>
      <w:numFmt w:val="decimal"/>
      <w:pStyle w:val="43"/>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BF8CA565"/>
    <w:multiLevelType w:val="singleLevel"/>
    <w:tmpl w:val="BF8CA565"/>
    <w:lvl w:ilvl="0" w:tentative="0">
      <w:start w:val="2"/>
      <w:numFmt w:val="decimal"/>
      <w:suff w:val="nothing"/>
      <w:lvlText w:val="（%1）"/>
      <w:lvlJc w:val="left"/>
    </w:lvl>
  </w:abstractNum>
  <w:abstractNum w:abstractNumId="2">
    <w:nsid w:val="C8A64F07"/>
    <w:multiLevelType w:val="singleLevel"/>
    <w:tmpl w:val="C8A64F07"/>
    <w:lvl w:ilvl="0" w:tentative="0">
      <w:start w:val="1"/>
      <w:numFmt w:val="decimal"/>
      <w:suff w:val="nothing"/>
      <w:lvlText w:val="（%1）"/>
      <w:lvlJc w:val="left"/>
    </w:lvl>
  </w:abstractNum>
  <w:abstractNum w:abstractNumId="3">
    <w:nsid w:val="E1AF4E3E"/>
    <w:multiLevelType w:val="singleLevel"/>
    <w:tmpl w:val="E1AF4E3E"/>
    <w:lvl w:ilvl="0" w:tentative="0">
      <w:start w:val="1"/>
      <w:numFmt w:val="decimal"/>
      <w:suff w:val="nothing"/>
      <w:lvlText w:val="（%1）"/>
      <w:lvlJc w:val="left"/>
    </w:lvl>
  </w:abstractNum>
  <w:abstractNum w:abstractNumId="4">
    <w:nsid w:val="1FC91163"/>
    <w:multiLevelType w:val="multilevel"/>
    <w:tmpl w:val="1FC91163"/>
    <w:lvl w:ilvl="0" w:tentative="0">
      <w:start w:val="1"/>
      <w:numFmt w:val="decimal"/>
      <w:pStyle w:val="36"/>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8"/>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3E3F6BFC"/>
    <w:multiLevelType w:val="multilevel"/>
    <w:tmpl w:val="3E3F6BFC"/>
    <w:lvl w:ilvl="0" w:tentative="0">
      <w:start w:val="1"/>
      <w:numFmt w:val="decimal"/>
      <w:pStyle w:val="2"/>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646260FA"/>
    <w:multiLevelType w:val="multilevel"/>
    <w:tmpl w:val="646260FA"/>
    <w:lvl w:ilvl="0" w:tentative="0">
      <w:start w:val="1"/>
      <w:numFmt w:val="decimal"/>
      <w:pStyle w:val="47"/>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BF44CCF"/>
    <w:multiLevelType w:val="singleLevel"/>
    <w:tmpl w:val="6BF44CCF"/>
    <w:lvl w:ilvl="0" w:tentative="0">
      <w:start w:val="1"/>
      <w:numFmt w:val="decimal"/>
      <w:suff w:val="nothing"/>
      <w:lvlText w:val="（%1）"/>
      <w:lvlJc w:val="left"/>
    </w:lvl>
  </w:abstractNum>
  <w:num w:numId="1">
    <w:abstractNumId w:val="5"/>
  </w:num>
  <w:num w:numId="2">
    <w:abstractNumId w:val="4"/>
  </w:num>
  <w:num w:numId="3">
    <w:abstractNumId w:val="0"/>
  </w:num>
  <w:num w:numId="4">
    <w:abstractNumId w:val="6"/>
  </w:num>
  <w:num w:numId="5">
    <w:abstractNumId w:val="1"/>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wNjM4ZWEyOTg5MGUzMTU4NzA3MTZhZTM0NDUzNjcifQ=="/>
  </w:docVars>
  <w:rsids>
    <w:rsidRoot w:val="007E587C"/>
    <w:rsid w:val="0000164C"/>
    <w:rsid w:val="0000549F"/>
    <w:rsid w:val="00011633"/>
    <w:rsid w:val="00014083"/>
    <w:rsid w:val="00020803"/>
    <w:rsid w:val="00026B4C"/>
    <w:rsid w:val="00043141"/>
    <w:rsid w:val="0005126C"/>
    <w:rsid w:val="0005163F"/>
    <w:rsid w:val="00057F00"/>
    <w:rsid w:val="0006038C"/>
    <w:rsid w:val="000779DD"/>
    <w:rsid w:val="000938D9"/>
    <w:rsid w:val="00095EA8"/>
    <w:rsid w:val="000A0A7E"/>
    <w:rsid w:val="000A189C"/>
    <w:rsid w:val="000C4BCF"/>
    <w:rsid w:val="000E423B"/>
    <w:rsid w:val="000E51D3"/>
    <w:rsid w:val="000F073D"/>
    <w:rsid w:val="001000E8"/>
    <w:rsid w:val="001169A1"/>
    <w:rsid w:val="0011735C"/>
    <w:rsid w:val="00120811"/>
    <w:rsid w:val="00125868"/>
    <w:rsid w:val="00146523"/>
    <w:rsid w:val="00151BD5"/>
    <w:rsid w:val="00152557"/>
    <w:rsid w:val="00153D76"/>
    <w:rsid w:val="00154921"/>
    <w:rsid w:val="001552BD"/>
    <w:rsid w:val="001649D7"/>
    <w:rsid w:val="00166365"/>
    <w:rsid w:val="001A6135"/>
    <w:rsid w:val="001A7DAA"/>
    <w:rsid w:val="001B4C40"/>
    <w:rsid w:val="001C2220"/>
    <w:rsid w:val="001E51A0"/>
    <w:rsid w:val="00203038"/>
    <w:rsid w:val="00205A3F"/>
    <w:rsid w:val="002132A2"/>
    <w:rsid w:val="0022024F"/>
    <w:rsid w:val="00223DF4"/>
    <w:rsid w:val="002406EB"/>
    <w:rsid w:val="00247F5D"/>
    <w:rsid w:val="002724F6"/>
    <w:rsid w:val="002750D7"/>
    <w:rsid w:val="00286EFD"/>
    <w:rsid w:val="00287038"/>
    <w:rsid w:val="0029519C"/>
    <w:rsid w:val="00297B32"/>
    <w:rsid w:val="002A4C0C"/>
    <w:rsid w:val="002B47A9"/>
    <w:rsid w:val="002C2F9E"/>
    <w:rsid w:val="002D2D38"/>
    <w:rsid w:val="002D4D55"/>
    <w:rsid w:val="002D4DFE"/>
    <w:rsid w:val="002E4E57"/>
    <w:rsid w:val="002F0D02"/>
    <w:rsid w:val="003007E5"/>
    <w:rsid w:val="00305129"/>
    <w:rsid w:val="003145C0"/>
    <w:rsid w:val="003231E0"/>
    <w:rsid w:val="0032600D"/>
    <w:rsid w:val="00330FFE"/>
    <w:rsid w:val="00332E55"/>
    <w:rsid w:val="00334350"/>
    <w:rsid w:val="00337E11"/>
    <w:rsid w:val="0034634D"/>
    <w:rsid w:val="003469F0"/>
    <w:rsid w:val="0037202D"/>
    <w:rsid w:val="00382C5B"/>
    <w:rsid w:val="00387C51"/>
    <w:rsid w:val="003903D3"/>
    <w:rsid w:val="003A53E0"/>
    <w:rsid w:val="003A728B"/>
    <w:rsid w:val="003B44F3"/>
    <w:rsid w:val="003C3738"/>
    <w:rsid w:val="003D1A1C"/>
    <w:rsid w:val="003D2ED6"/>
    <w:rsid w:val="003D7FC2"/>
    <w:rsid w:val="003F4D99"/>
    <w:rsid w:val="003F79C7"/>
    <w:rsid w:val="00402FDD"/>
    <w:rsid w:val="00417B45"/>
    <w:rsid w:val="00450D4B"/>
    <w:rsid w:val="0047063A"/>
    <w:rsid w:val="00473A23"/>
    <w:rsid w:val="0049022F"/>
    <w:rsid w:val="00490713"/>
    <w:rsid w:val="004A0E42"/>
    <w:rsid w:val="004A62A0"/>
    <w:rsid w:val="004A7DED"/>
    <w:rsid w:val="004A7FEF"/>
    <w:rsid w:val="004B1B5B"/>
    <w:rsid w:val="004B5295"/>
    <w:rsid w:val="004E125E"/>
    <w:rsid w:val="004E3EF4"/>
    <w:rsid w:val="004F03BE"/>
    <w:rsid w:val="004F30A1"/>
    <w:rsid w:val="005102CB"/>
    <w:rsid w:val="00512711"/>
    <w:rsid w:val="00514C48"/>
    <w:rsid w:val="00522CB0"/>
    <w:rsid w:val="0052720C"/>
    <w:rsid w:val="0053323C"/>
    <w:rsid w:val="00550CEC"/>
    <w:rsid w:val="005709BD"/>
    <w:rsid w:val="00576604"/>
    <w:rsid w:val="00585D4A"/>
    <w:rsid w:val="0058757B"/>
    <w:rsid w:val="005876CB"/>
    <w:rsid w:val="00595321"/>
    <w:rsid w:val="005A456A"/>
    <w:rsid w:val="005A7ED0"/>
    <w:rsid w:val="005B4F9F"/>
    <w:rsid w:val="005B6C37"/>
    <w:rsid w:val="005B6F99"/>
    <w:rsid w:val="005B7254"/>
    <w:rsid w:val="005C1810"/>
    <w:rsid w:val="005C3C0E"/>
    <w:rsid w:val="005D1671"/>
    <w:rsid w:val="005D249C"/>
    <w:rsid w:val="005D4E66"/>
    <w:rsid w:val="005D5C6E"/>
    <w:rsid w:val="005F171B"/>
    <w:rsid w:val="005F37D9"/>
    <w:rsid w:val="00606C64"/>
    <w:rsid w:val="0062283C"/>
    <w:rsid w:val="006255C0"/>
    <w:rsid w:val="00653388"/>
    <w:rsid w:val="006540F8"/>
    <w:rsid w:val="00664569"/>
    <w:rsid w:val="0067362E"/>
    <w:rsid w:val="00674FA9"/>
    <w:rsid w:val="0068178F"/>
    <w:rsid w:val="0068398F"/>
    <w:rsid w:val="0068424F"/>
    <w:rsid w:val="006847A7"/>
    <w:rsid w:val="00691364"/>
    <w:rsid w:val="006C4C75"/>
    <w:rsid w:val="006F33DC"/>
    <w:rsid w:val="006F7732"/>
    <w:rsid w:val="00704BA2"/>
    <w:rsid w:val="00714CDF"/>
    <w:rsid w:val="0071770B"/>
    <w:rsid w:val="00724DD4"/>
    <w:rsid w:val="007509EE"/>
    <w:rsid w:val="0075668E"/>
    <w:rsid w:val="00770BAD"/>
    <w:rsid w:val="00771924"/>
    <w:rsid w:val="0078783B"/>
    <w:rsid w:val="00794EF7"/>
    <w:rsid w:val="00796AF4"/>
    <w:rsid w:val="007A0FF2"/>
    <w:rsid w:val="007A7C36"/>
    <w:rsid w:val="007B3766"/>
    <w:rsid w:val="007C6073"/>
    <w:rsid w:val="007D4D5E"/>
    <w:rsid w:val="007E587C"/>
    <w:rsid w:val="00810429"/>
    <w:rsid w:val="008143D7"/>
    <w:rsid w:val="008167BD"/>
    <w:rsid w:val="008256F5"/>
    <w:rsid w:val="00835A8B"/>
    <w:rsid w:val="00835F41"/>
    <w:rsid w:val="00843D74"/>
    <w:rsid w:val="00856034"/>
    <w:rsid w:val="00860374"/>
    <w:rsid w:val="00860B37"/>
    <w:rsid w:val="00874EA7"/>
    <w:rsid w:val="008A73FD"/>
    <w:rsid w:val="008C480A"/>
    <w:rsid w:val="008C79F2"/>
    <w:rsid w:val="008E0D57"/>
    <w:rsid w:val="008E5E8F"/>
    <w:rsid w:val="008F7269"/>
    <w:rsid w:val="00904F19"/>
    <w:rsid w:val="009253B5"/>
    <w:rsid w:val="00932FFB"/>
    <w:rsid w:val="00955BD0"/>
    <w:rsid w:val="009571D9"/>
    <w:rsid w:val="0097132D"/>
    <w:rsid w:val="00972F23"/>
    <w:rsid w:val="00977569"/>
    <w:rsid w:val="00981E60"/>
    <w:rsid w:val="009938D4"/>
    <w:rsid w:val="00995F89"/>
    <w:rsid w:val="00997FE5"/>
    <w:rsid w:val="009D3D8E"/>
    <w:rsid w:val="009D3F07"/>
    <w:rsid w:val="009E47DC"/>
    <w:rsid w:val="009F2A9A"/>
    <w:rsid w:val="00A01EAA"/>
    <w:rsid w:val="00A03D0F"/>
    <w:rsid w:val="00A06188"/>
    <w:rsid w:val="00A103C2"/>
    <w:rsid w:val="00A1098D"/>
    <w:rsid w:val="00A110CB"/>
    <w:rsid w:val="00A3257C"/>
    <w:rsid w:val="00A34DF1"/>
    <w:rsid w:val="00A35A78"/>
    <w:rsid w:val="00A37571"/>
    <w:rsid w:val="00A400AA"/>
    <w:rsid w:val="00A54469"/>
    <w:rsid w:val="00A63087"/>
    <w:rsid w:val="00A662E3"/>
    <w:rsid w:val="00A6717C"/>
    <w:rsid w:val="00A8624E"/>
    <w:rsid w:val="00A874AC"/>
    <w:rsid w:val="00A87B1B"/>
    <w:rsid w:val="00AB3E35"/>
    <w:rsid w:val="00AB7EBD"/>
    <w:rsid w:val="00AC7B15"/>
    <w:rsid w:val="00AD018F"/>
    <w:rsid w:val="00AD274F"/>
    <w:rsid w:val="00B1435E"/>
    <w:rsid w:val="00B25539"/>
    <w:rsid w:val="00B30B4C"/>
    <w:rsid w:val="00B50BD4"/>
    <w:rsid w:val="00B52536"/>
    <w:rsid w:val="00B564B7"/>
    <w:rsid w:val="00B60A0E"/>
    <w:rsid w:val="00B75910"/>
    <w:rsid w:val="00B835F9"/>
    <w:rsid w:val="00B920B2"/>
    <w:rsid w:val="00B93051"/>
    <w:rsid w:val="00BA1716"/>
    <w:rsid w:val="00BB3D9E"/>
    <w:rsid w:val="00BB4B4C"/>
    <w:rsid w:val="00BD75A7"/>
    <w:rsid w:val="00BE1247"/>
    <w:rsid w:val="00BE539D"/>
    <w:rsid w:val="00BE74F1"/>
    <w:rsid w:val="00BF3FD9"/>
    <w:rsid w:val="00BF5520"/>
    <w:rsid w:val="00BF666E"/>
    <w:rsid w:val="00BF7A52"/>
    <w:rsid w:val="00C05EFD"/>
    <w:rsid w:val="00C06523"/>
    <w:rsid w:val="00C11F01"/>
    <w:rsid w:val="00C17740"/>
    <w:rsid w:val="00C22230"/>
    <w:rsid w:val="00C26797"/>
    <w:rsid w:val="00C311A6"/>
    <w:rsid w:val="00C34039"/>
    <w:rsid w:val="00C40ADC"/>
    <w:rsid w:val="00C501BA"/>
    <w:rsid w:val="00C506C2"/>
    <w:rsid w:val="00C55A81"/>
    <w:rsid w:val="00C570F9"/>
    <w:rsid w:val="00C61303"/>
    <w:rsid w:val="00C668F2"/>
    <w:rsid w:val="00C84400"/>
    <w:rsid w:val="00C8609F"/>
    <w:rsid w:val="00C90488"/>
    <w:rsid w:val="00C912FD"/>
    <w:rsid w:val="00C93108"/>
    <w:rsid w:val="00C941D1"/>
    <w:rsid w:val="00C97A4E"/>
    <w:rsid w:val="00CA1F07"/>
    <w:rsid w:val="00CB506E"/>
    <w:rsid w:val="00CC487D"/>
    <w:rsid w:val="00CE1425"/>
    <w:rsid w:val="00CE60EC"/>
    <w:rsid w:val="00CF499E"/>
    <w:rsid w:val="00CF7FC2"/>
    <w:rsid w:val="00CF7FDB"/>
    <w:rsid w:val="00D05729"/>
    <w:rsid w:val="00D07499"/>
    <w:rsid w:val="00D100F2"/>
    <w:rsid w:val="00D33056"/>
    <w:rsid w:val="00D40210"/>
    <w:rsid w:val="00D60E04"/>
    <w:rsid w:val="00D66D95"/>
    <w:rsid w:val="00D737E6"/>
    <w:rsid w:val="00D74C71"/>
    <w:rsid w:val="00D844CA"/>
    <w:rsid w:val="00D96CC0"/>
    <w:rsid w:val="00DA175A"/>
    <w:rsid w:val="00DA79A4"/>
    <w:rsid w:val="00DB276A"/>
    <w:rsid w:val="00DB5507"/>
    <w:rsid w:val="00DC37E7"/>
    <w:rsid w:val="00DD4120"/>
    <w:rsid w:val="00DD6820"/>
    <w:rsid w:val="00DE0756"/>
    <w:rsid w:val="00DF3A21"/>
    <w:rsid w:val="00DF470C"/>
    <w:rsid w:val="00E10751"/>
    <w:rsid w:val="00E13B41"/>
    <w:rsid w:val="00E144B2"/>
    <w:rsid w:val="00E1500B"/>
    <w:rsid w:val="00E16763"/>
    <w:rsid w:val="00E215E8"/>
    <w:rsid w:val="00E30022"/>
    <w:rsid w:val="00E31C4F"/>
    <w:rsid w:val="00E5396E"/>
    <w:rsid w:val="00E54E54"/>
    <w:rsid w:val="00E63213"/>
    <w:rsid w:val="00E75843"/>
    <w:rsid w:val="00E945CB"/>
    <w:rsid w:val="00E96D49"/>
    <w:rsid w:val="00EA75EE"/>
    <w:rsid w:val="00EB485D"/>
    <w:rsid w:val="00EC581C"/>
    <w:rsid w:val="00EC5A64"/>
    <w:rsid w:val="00EC5ECD"/>
    <w:rsid w:val="00ED3091"/>
    <w:rsid w:val="00EE1A5B"/>
    <w:rsid w:val="00EE66E2"/>
    <w:rsid w:val="00EF621B"/>
    <w:rsid w:val="00F30E64"/>
    <w:rsid w:val="00F40BB3"/>
    <w:rsid w:val="00F53E7C"/>
    <w:rsid w:val="00F81A92"/>
    <w:rsid w:val="00F81CB9"/>
    <w:rsid w:val="00F82212"/>
    <w:rsid w:val="00F962F4"/>
    <w:rsid w:val="00FD73B5"/>
    <w:rsid w:val="00FE28BF"/>
    <w:rsid w:val="00FE358D"/>
    <w:rsid w:val="00FF1086"/>
    <w:rsid w:val="00FF1D9E"/>
    <w:rsid w:val="00FF3465"/>
    <w:rsid w:val="00FF36A0"/>
    <w:rsid w:val="00FF6CB2"/>
    <w:rsid w:val="018F6016"/>
    <w:rsid w:val="03C52604"/>
    <w:rsid w:val="061B458B"/>
    <w:rsid w:val="08C75CF8"/>
    <w:rsid w:val="0A654DBD"/>
    <w:rsid w:val="0C5F0700"/>
    <w:rsid w:val="12816B03"/>
    <w:rsid w:val="12CE4171"/>
    <w:rsid w:val="151A6C93"/>
    <w:rsid w:val="159D7E13"/>
    <w:rsid w:val="19C801A9"/>
    <w:rsid w:val="1A377AC6"/>
    <w:rsid w:val="1E3F3140"/>
    <w:rsid w:val="1F3744D7"/>
    <w:rsid w:val="204664DE"/>
    <w:rsid w:val="211108F4"/>
    <w:rsid w:val="2281250A"/>
    <w:rsid w:val="23004C22"/>
    <w:rsid w:val="234D76FC"/>
    <w:rsid w:val="24390E1B"/>
    <w:rsid w:val="26F9602D"/>
    <w:rsid w:val="285B7D1A"/>
    <w:rsid w:val="28E82D17"/>
    <w:rsid w:val="2B7038C6"/>
    <w:rsid w:val="2CD47877"/>
    <w:rsid w:val="2DD508B2"/>
    <w:rsid w:val="2FAB3CC5"/>
    <w:rsid w:val="313E3F73"/>
    <w:rsid w:val="317831CE"/>
    <w:rsid w:val="31920C7A"/>
    <w:rsid w:val="31D445C2"/>
    <w:rsid w:val="329B26D3"/>
    <w:rsid w:val="34045336"/>
    <w:rsid w:val="352148BE"/>
    <w:rsid w:val="36234DB6"/>
    <w:rsid w:val="37630A08"/>
    <w:rsid w:val="397C4852"/>
    <w:rsid w:val="3AEB4D95"/>
    <w:rsid w:val="41654AEA"/>
    <w:rsid w:val="41DE7EC0"/>
    <w:rsid w:val="42471C12"/>
    <w:rsid w:val="43356B4B"/>
    <w:rsid w:val="43A447E2"/>
    <w:rsid w:val="45A32BCF"/>
    <w:rsid w:val="4A086022"/>
    <w:rsid w:val="4B8801E1"/>
    <w:rsid w:val="4C372AD2"/>
    <w:rsid w:val="4C5D73E9"/>
    <w:rsid w:val="530A6CDD"/>
    <w:rsid w:val="54487740"/>
    <w:rsid w:val="54C576B0"/>
    <w:rsid w:val="55230655"/>
    <w:rsid w:val="5F077070"/>
    <w:rsid w:val="60D57533"/>
    <w:rsid w:val="616F3ECE"/>
    <w:rsid w:val="62E7082D"/>
    <w:rsid w:val="64FF62DA"/>
    <w:rsid w:val="660E3EC0"/>
    <w:rsid w:val="662856A8"/>
    <w:rsid w:val="66A81D08"/>
    <w:rsid w:val="67101B7A"/>
    <w:rsid w:val="69393D31"/>
    <w:rsid w:val="6C0F7AF4"/>
    <w:rsid w:val="6D8B4F45"/>
    <w:rsid w:val="709B69B3"/>
    <w:rsid w:val="77CF5978"/>
    <w:rsid w:val="7811440A"/>
    <w:rsid w:val="787D1D14"/>
    <w:rsid w:val="79233426"/>
    <w:rsid w:val="7BC13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both"/>
    </w:pPr>
    <w:rPr>
      <w:rFonts w:ascii="Calibri" w:hAnsi="Calibri" w:eastAsia="宋体" w:cs="Times New Roman"/>
      <w:kern w:val="2"/>
      <w:sz w:val="24"/>
      <w:szCs w:val="22"/>
      <w:lang w:val="en-US" w:eastAsia="zh-CN" w:bidi="ar-SA"/>
    </w:rPr>
  </w:style>
  <w:style w:type="paragraph" w:styleId="2">
    <w:name w:val="heading 1"/>
    <w:basedOn w:val="1"/>
    <w:next w:val="1"/>
    <w:link w:val="28"/>
    <w:qFormat/>
    <w:uiPriority w:val="9"/>
    <w:pPr>
      <w:keepNext/>
      <w:keepLines/>
      <w:numPr>
        <w:ilvl w:val="0"/>
        <w:numId w:val="1"/>
      </w:numPr>
      <w:spacing w:line="360" w:lineRule="auto"/>
      <w:ind w:left="0" w:firstLine="0" w:firstLineChars="0"/>
      <w:outlineLvl w:val="0"/>
    </w:pPr>
    <w:rPr>
      <w:rFonts w:ascii="Times New Roman" w:hAnsi="Times New Roman" w:eastAsia="黑体"/>
      <w:b/>
      <w:bCs/>
      <w:kern w:val="44"/>
      <w:szCs w:val="44"/>
    </w:rPr>
  </w:style>
  <w:style w:type="paragraph" w:styleId="3">
    <w:name w:val="heading 2"/>
    <w:basedOn w:val="1"/>
    <w:next w:val="1"/>
    <w:link w:val="33"/>
    <w:unhideWhenUsed/>
    <w:qFormat/>
    <w:uiPriority w:val="9"/>
    <w:pPr>
      <w:keepNext/>
      <w:keepLines/>
      <w:numPr>
        <w:ilvl w:val="0"/>
        <w:numId w:val="0"/>
      </w:numPr>
      <w:spacing w:line="360" w:lineRule="auto"/>
      <w:outlineLvl w:val="1"/>
    </w:pPr>
    <w:rPr>
      <w:rFonts w:ascii="Times New Roman" w:hAnsi="Times New Roman" w:eastAsia="黑体" w:cstheme="majorBidi"/>
      <w:b/>
      <w:bCs/>
      <w:szCs w:val="32"/>
    </w:rPr>
  </w:style>
  <w:style w:type="paragraph" w:styleId="4">
    <w:name w:val="heading 3"/>
    <w:basedOn w:val="1"/>
    <w:next w:val="1"/>
    <w:link w:val="31"/>
    <w:unhideWhenUsed/>
    <w:qFormat/>
    <w:uiPriority w:val="9"/>
    <w:pPr>
      <w:keepNext/>
      <w:keepLines/>
      <w:spacing w:line="360" w:lineRule="auto"/>
      <w:outlineLvl w:val="2"/>
    </w:pPr>
    <w:rPr>
      <w:rFonts w:eastAsia="黑体"/>
      <w:b/>
      <w:bCs/>
      <w:sz w:val="24"/>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rPr>
      <w:rFonts w:ascii="Cambria" w:hAnsi="Cambria" w:eastAsia="黑体"/>
      <w:sz w:val="20"/>
      <w:szCs w:val="20"/>
    </w:rPr>
  </w:style>
  <w:style w:type="paragraph" w:styleId="6">
    <w:name w:val="annotation text"/>
    <w:basedOn w:val="1"/>
    <w:link w:val="29"/>
    <w:semiHidden/>
    <w:unhideWhenUsed/>
    <w:qFormat/>
    <w:uiPriority w:val="99"/>
    <w:pPr>
      <w:jc w:val="left"/>
    </w:pPr>
  </w:style>
  <w:style w:type="paragraph" w:styleId="7">
    <w:name w:val="Body Text"/>
    <w:basedOn w:val="1"/>
    <w:qFormat/>
    <w:uiPriority w:val="1"/>
    <w:rPr>
      <w:rFonts w:ascii="宋体" w:hAnsi="宋体" w:eastAsia="宋体" w:cs="宋体"/>
      <w:sz w:val="21"/>
      <w:szCs w:val="21"/>
      <w:lang w:val="en-US" w:eastAsia="en-US" w:bidi="en-US"/>
    </w:rPr>
  </w:style>
  <w:style w:type="paragraph" w:styleId="8">
    <w:name w:val="toc 3"/>
    <w:basedOn w:val="1"/>
    <w:next w:val="1"/>
    <w:unhideWhenUsed/>
    <w:qFormat/>
    <w:uiPriority w:val="39"/>
    <w:pPr>
      <w:ind w:left="840" w:leftChars="400"/>
    </w:pPr>
  </w:style>
  <w:style w:type="paragraph" w:styleId="9">
    <w:name w:val="Balloon Text"/>
    <w:basedOn w:val="1"/>
    <w:link w:val="30"/>
    <w:semiHidden/>
    <w:unhideWhenUsed/>
    <w:qFormat/>
    <w:uiPriority w:val="99"/>
    <w:rPr>
      <w:sz w:val="18"/>
      <w:szCs w:val="18"/>
    </w:rPr>
  </w:style>
  <w:style w:type="paragraph" w:styleId="10">
    <w:name w:val="footer"/>
    <w:basedOn w:val="1"/>
    <w:link w:val="26"/>
    <w:unhideWhenUsed/>
    <w:qFormat/>
    <w:uiPriority w:val="99"/>
    <w:pPr>
      <w:tabs>
        <w:tab w:val="center" w:pos="4153"/>
        <w:tab w:val="right" w:pos="8306"/>
      </w:tabs>
      <w:snapToGrid w:val="0"/>
      <w:jc w:val="left"/>
    </w:pPr>
    <w:rPr>
      <w:sz w:val="18"/>
      <w:szCs w:val="18"/>
    </w:rPr>
  </w:style>
  <w:style w:type="paragraph" w:styleId="11">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rPr>
      <w:rFonts w:ascii="Times New Roman" w:hAnsi="Times New Roman"/>
      <w:szCs w:val="24"/>
    </w:rPr>
  </w:style>
  <w:style w:type="paragraph" w:styleId="13">
    <w:name w:val="toc 2"/>
    <w:basedOn w:val="1"/>
    <w:next w:val="1"/>
    <w:unhideWhenUsed/>
    <w:qFormat/>
    <w:uiPriority w:val="39"/>
    <w:pPr>
      <w:ind w:left="420" w:leftChars="200"/>
    </w:pPr>
  </w:style>
  <w:style w:type="paragraph" w:styleId="14">
    <w:name w:val="HTML Preformatted"/>
    <w:basedOn w:val="1"/>
    <w:link w:val="24"/>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6">
    <w:name w:val="annotation subject"/>
    <w:basedOn w:val="6"/>
    <w:next w:val="6"/>
    <w:link w:val="32"/>
    <w:semiHidden/>
    <w:unhideWhenUsed/>
    <w:qFormat/>
    <w:uiPriority w:val="99"/>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Hyperlink"/>
    <w:qFormat/>
    <w:uiPriority w:val="99"/>
    <w:rPr>
      <w:color w:val="0000FF"/>
      <w:u w:val="single"/>
    </w:rPr>
  </w:style>
  <w:style w:type="character" w:styleId="22">
    <w:name w:val="annotation reference"/>
    <w:semiHidden/>
    <w:unhideWhenUsed/>
    <w:qFormat/>
    <w:uiPriority w:val="99"/>
    <w:rPr>
      <w:sz w:val="21"/>
      <w:szCs w:val="21"/>
    </w:rPr>
  </w:style>
  <w:style w:type="paragraph" w:styleId="23">
    <w:name w:val="List Paragraph"/>
    <w:basedOn w:val="1"/>
    <w:qFormat/>
    <w:uiPriority w:val="99"/>
    <w:pPr>
      <w:ind w:firstLine="420" w:firstLineChars="200"/>
    </w:pPr>
  </w:style>
  <w:style w:type="character" w:customStyle="1" w:styleId="24">
    <w:name w:val="HTML 预设格式 字符"/>
    <w:basedOn w:val="19"/>
    <w:link w:val="14"/>
    <w:qFormat/>
    <w:uiPriority w:val="99"/>
    <w:rPr>
      <w:rFonts w:ascii="宋体" w:hAnsi="宋体" w:eastAsia="宋体" w:cs="宋体"/>
      <w:kern w:val="0"/>
      <w:sz w:val="24"/>
      <w:szCs w:val="24"/>
    </w:rPr>
  </w:style>
  <w:style w:type="character" w:customStyle="1" w:styleId="25">
    <w:name w:val="页眉 字符"/>
    <w:basedOn w:val="19"/>
    <w:link w:val="11"/>
    <w:qFormat/>
    <w:uiPriority w:val="99"/>
    <w:rPr>
      <w:rFonts w:ascii="Calibri" w:hAnsi="Calibri" w:eastAsia="宋体" w:cs="Times New Roman"/>
      <w:sz w:val="18"/>
      <w:szCs w:val="18"/>
    </w:rPr>
  </w:style>
  <w:style w:type="character" w:customStyle="1" w:styleId="26">
    <w:name w:val="页脚 字符"/>
    <w:basedOn w:val="19"/>
    <w:link w:val="10"/>
    <w:qFormat/>
    <w:uiPriority w:val="99"/>
    <w:rPr>
      <w:rFonts w:ascii="Calibri" w:hAnsi="Calibri" w:eastAsia="宋体" w:cs="Times New Roman"/>
      <w:sz w:val="18"/>
      <w:szCs w:val="18"/>
    </w:rPr>
  </w:style>
  <w:style w:type="character" w:customStyle="1" w:styleId="27">
    <w:name w:val="标题 1 字符"/>
    <w:basedOn w:val="19"/>
    <w:qFormat/>
    <w:uiPriority w:val="9"/>
    <w:rPr>
      <w:rFonts w:ascii="Calibri" w:hAnsi="Calibri" w:eastAsia="宋体" w:cs="Times New Roman"/>
      <w:b/>
      <w:bCs/>
      <w:kern w:val="44"/>
      <w:sz w:val="44"/>
      <w:szCs w:val="44"/>
    </w:rPr>
  </w:style>
  <w:style w:type="character" w:customStyle="1" w:styleId="28">
    <w:name w:val="标题 1 字符1"/>
    <w:link w:val="2"/>
    <w:qFormat/>
    <w:uiPriority w:val="9"/>
    <w:rPr>
      <w:rFonts w:ascii="Times New Roman" w:hAnsi="Times New Roman" w:eastAsia="黑体" w:cs="Times New Roman"/>
      <w:b/>
      <w:bCs/>
      <w:kern w:val="44"/>
      <w:sz w:val="24"/>
      <w:szCs w:val="44"/>
    </w:rPr>
  </w:style>
  <w:style w:type="character" w:customStyle="1" w:styleId="29">
    <w:name w:val="批注文字 字符"/>
    <w:basedOn w:val="19"/>
    <w:link w:val="6"/>
    <w:semiHidden/>
    <w:qFormat/>
    <w:uiPriority w:val="99"/>
    <w:rPr>
      <w:rFonts w:ascii="Calibri" w:hAnsi="Calibri" w:eastAsia="宋体" w:cs="Times New Roman"/>
    </w:rPr>
  </w:style>
  <w:style w:type="character" w:customStyle="1" w:styleId="30">
    <w:name w:val="批注框文本 字符"/>
    <w:basedOn w:val="19"/>
    <w:link w:val="9"/>
    <w:semiHidden/>
    <w:qFormat/>
    <w:uiPriority w:val="99"/>
    <w:rPr>
      <w:rFonts w:ascii="Calibri" w:hAnsi="Calibri" w:eastAsia="宋体" w:cs="Times New Roman"/>
      <w:sz w:val="18"/>
      <w:szCs w:val="18"/>
    </w:rPr>
  </w:style>
  <w:style w:type="character" w:customStyle="1" w:styleId="31">
    <w:name w:val="标题 3 字符"/>
    <w:basedOn w:val="19"/>
    <w:link w:val="4"/>
    <w:semiHidden/>
    <w:qFormat/>
    <w:uiPriority w:val="9"/>
    <w:rPr>
      <w:rFonts w:ascii="Calibri" w:hAnsi="Calibri" w:eastAsia="黑体" w:cs="Times New Roman"/>
      <w:b/>
      <w:bCs/>
      <w:sz w:val="24"/>
      <w:szCs w:val="32"/>
    </w:rPr>
  </w:style>
  <w:style w:type="character" w:customStyle="1" w:styleId="32">
    <w:name w:val="批注主题 字符"/>
    <w:basedOn w:val="29"/>
    <w:link w:val="16"/>
    <w:semiHidden/>
    <w:qFormat/>
    <w:uiPriority w:val="99"/>
    <w:rPr>
      <w:rFonts w:ascii="Calibri" w:hAnsi="Calibri" w:eastAsia="宋体" w:cs="Times New Roman"/>
      <w:b/>
      <w:bCs/>
    </w:rPr>
  </w:style>
  <w:style w:type="character" w:customStyle="1" w:styleId="33">
    <w:name w:val="标题 2 字符"/>
    <w:basedOn w:val="19"/>
    <w:link w:val="3"/>
    <w:qFormat/>
    <w:uiPriority w:val="9"/>
    <w:rPr>
      <w:rFonts w:ascii="Times New Roman" w:hAnsi="Times New Roman" w:eastAsia="黑体" w:cstheme="majorBidi"/>
      <w:b/>
      <w:bCs/>
      <w:sz w:val="24"/>
      <w:szCs w:val="32"/>
    </w:rPr>
  </w:style>
  <w:style w:type="character" w:customStyle="1" w:styleId="34">
    <w:name w:val="标题1"/>
    <w:basedOn w:val="19"/>
    <w:semiHidden/>
    <w:unhideWhenUsed/>
    <w:qFormat/>
    <w:uiPriority w:val="99"/>
    <w:rPr>
      <w:rFonts w:ascii="Calibri" w:hAnsi="Calibri" w:eastAsia="黑体"/>
      <w:b/>
      <w:color w:val="605E5C"/>
      <w:sz w:val="24"/>
      <w:shd w:val="clear" w:color="auto" w:fill="E1DFDD"/>
    </w:rPr>
  </w:style>
  <w:style w:type="table" w:customStyle="1" w:styleId="35">
    <w:name w:val="样式1"/>
    <w:basedOn w:val="17"/>
    <w:qFormat/>
    <w:uiPriority w:val="99"/>
    <w:rPr>
      <w:rFonts w:ascii="Times New Roman" w:hAnsi="Times New Roman" w:eastAsia="宋体" w:cs="Times New Roman"/>
    </w:rPr>
    <w:tblStylePr w:type="firstRow">
      <w:tcPr>
        <w:tcBorders>
          <w:top w:val="single" w:color="auto" w:sz="12" w:space="0"/>
          <w:left w:val="nil"/>
          <w:bottom w:val="single" w:color="auto" w:sz="12" w:space="0"/>
          <w:right w:val="nil"/>
          <w:insideH w:val="nil"/>
          <w:insideV w:val="nil"/>
          <w:tl2br w:val="nil"/>
          <w:tr2bl w:val="nil"/>
        </w:tcBorders>
      </w:tcPr>
    </w:tblStylePr>
    <w:tblStylePr w:type="lastRow">
      <w:tcPr>
        <w:tcBorders>
          <w:top w:val="nil"/>
          <w:left w:val="nil"/>
          <w:bottom w:val="single" w:color="auto" w:sz="12" w:space="0"/>
          <w:right w:val="nil"/>
          <w:insideH w:val="nil"/>
          <w:insideV w:val="nil"/>
          <w:tl2br w:val="nil"/>
          <w:tr2bl w:val="nil"/>
        </w:tcBorders>
      </w:tcPr>
    </w:tblStylePr>
  </w:style>
  <w:style w:type="paragraph" w:customStyle="1" w:styleId="36">
    <w:name w:val="章标题"/>
    <w:next w:val="37"/>
    <w:qFormat/>
    <w:uiPriority w:val="0"/>
    <w:pPr>
      <w:numPr>
        <w:ilvl w:val="0"/>
        <w:numId w:val="2"/>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37">
    <w:name w:val="段"/>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38">
    <w:name w:val="标题2"/>
    <w:next w:val="37"/>
    <w:qFormat/>
    <w:uiPriority w:val="0"/>
    <w:pPr>
      <w:numPr>
        <w:ilvl w:val="1"/>
        <w:numId w:val="2"/>
      </w:numPr>
      <w:spacing w:line="360" w:lineRule="auto"/>
      <w:jc w:val="both"/>
      <w:outlineLvl w:val="1"/>
    </w:pPr>
    <w:rPr>
      <w:rFonts w:ascii="黑体" w:hAnsi="黑体" w:eastAsia="黑体" w:cs="Times New Roman"/>
      <w:b/>
      <w:sz w:val="24"/>
      <w:szCs w:val="21"/>
      <w:lang w:val="en-US" w:eastAsia="zh-CN" w:bidi="ar-SA"/>
    </w:rPr>
  </w:style>
  <w:style w:type="paragraph" w:customStyle="1" w:styleId="39">
    <w:name w:val="一级条标题"/>
    <w:basedOn w:val="1"/>
    <w:next w:val="37"/>
    <w:qFormat/>
    <w:uiPriority w:val="0"/>
    <w:pPr>
      <w:numPr>
        <w:ilvl w:val="1"/>
        <w:numId w:val="3"/>
      </w:numPr>
    </w:pPr>
  </w:style>
  <w:style w:type="paragraph" w:customStyle="1" w:styleId="40">
    <w:name w:val="二级条标题"/>
    <w:basedOn w:val="1"/>
    <w:qFormat/>
    <w:uiPriority w:val="0"/>
    <w:pPr>
      <w:numPr>
        <w:ilvl w:val="2"/>
        <w:numId w:val="3"/>
      </w:numPr>
    </w:pPr>
  </w:style>
  <w:style w:type="paragraph" w:customStyle="1" w:styleId="41">
    <w:name w:val="三级条标题"/>
    <w:basedOn w:val="1"/>
    <w:qFormat/>
    <w:uiPriority w:val="0"/>
    <w:pPr>
      <w:numPr>
        <w:ilvl w:val="3"/>
        <w:numId w:val="3"/>
      </w:numPr>
    </w:pPr>
  </w:style>
  <w:style w:type="paragraph" w:customStyle="1" w:styleId="42">
    <w:name w:val="四级条标题"/>
    <w:basedOn w:val="1"/>
    <w:qFormat/>
    <w:uiPriority w:val="0"/>
    <w:pPr>
      <w:numPr>
        <w:ilvl w:val="4"/>
        <w:numId w:val="3"/>
      </w:numPr>
    </w:pPr>
  </w:style>
  <w:style w:type="paragraph" w:customStyle="1" w:styleId="43">
    <w:name w:val="五级条标题"/>
    <w:basedOn w:val="1"/>
    <w:qFormat/>
    <w:uiPriority w:val="0"/>
    <w:pPr>
      <w:numPr>
        <w:ilvl w:val="5"/>
        <w:numId w:val="3"/>
      </w:numPr>
    </w:pPr>
  </w:style>
  <w:style w:type="character" w:customStyle="1" w:styleId="44">
    <w:name w:val="fontstyle01"/>
    <w:basedOn w:val="19"/>
    <w:qFormat/>
    <w:uiPriority w:val="0"/>
    <w:rPr>
      <w:rFonts w:ascii="黑体" w:hAnsi="宋体" w:eastAsia="黑体" w:cs="黑体"/>
      <w:color w:val="000000"/>
      <w:sz w:val="28"/>
      <w:szCs w:val="28"/>
    </w:rPr>
  </w:style>
  <w:style w:type="paragraph" w:customStyle="1" w:styleId="45">
    <w:name w:val="二级标题"/>
    <w:basedOn w:val="4"/>
    <w:qFormat/>
    <w:uiPriority w:val="0"/>
    <w:pPr>
      <w:numPr>
        <w:ilvl w:val="2"/>
        <w:numId w:val="0"/>
      </w:numPr>
      <w:tabs>
        <w:tab w:val="left" w:pos="540"/>
        <w:tab w:val="left" w:pos="1080"/>
        <w:tab w:val="left" w:pos="1260"/>
      </w:tabs>
    </w:pPr>
    <w:rPr>
      <w:rFonts w:ascii="宋体" w:hAnsi="宋体" w:eastAsia="黑体"/>
      <w:color w:val="000000"/>
      <w:kern w:val="2"/>
      <w:sz w:val="28"/>
      <w:szCs w:val="28"/>
      <w:lang w:val="en-US" w:eastAsia="zh-CN"/>
    </w:rPr>
  </w:style>
  <w:style w:type="paragraph" w:customStyle="1" w:styleId="46">
    <w:name w:val="Normal Indent"/>
    <w:basedOn w:val="1"/>
    <w:qFormat/>
    <w:uiPriority w:val="0"/>
    <w:pPr>
      <w:ind w:firstLine="420"/>
    </w:pPr>
    <w:rPr>
      <w:szCs w:val="20"/>
    </w:rPr>
  </w:style>
  <w:style w:type="paragraph" w:customStyle="1" w:styleId="47">
    <w:name w:val="正文表标题"/>
    <w:next w:val="37"/>
    <w:qFormat/>
    <w:uiPriority w:val="0"/>
    <w:pPr>
      <w:numPr>
        <w:ilvl w:val="0"/>
        <w:numId w:val="4"/>
      </w:numPr>
      <w:tabs>
        <w:tab w:val="left" w:pos="360"/>
      </w:tabs>
      <w:spacing w:before="156" w:beforeLines="50" w:after="156" w:afterLines="50"/>
      <w:jc w:val="center"/>
    </w:pPr>
    <w:rPr>
      <w:rFonts w:ascii="黑体" w:hAnsi="Times New Roman" w:eastAsia="黑体" w:cs="Times New Roman"/>
      <w:sz w:val="21"/>
      <w:lang w:val="en-US" w:eastAsia="zh-CN" w:bidi="ar-SA"/>
    </w:rPr>
  </w:style>
  <w:style w:type="character" w:customStyle="1" w:styleId="48">
    <w:name w:val="fontstyle11"/>
    <w:basedOn w:val="19"/>
    <w:qFormat/>
    <w:uiPriority w:val="0"/>
    <w:rPr>
      <w:rFonts w:hint="default" w:ascii="Times New Roman" w:hAnsi="Times New Roman" w:cs="Times New Roman"/>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tif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57AB6C-7B2B-4F49-BCEE-09413F603F58}">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40</Pages>
  <Words>8253</Words>
  <Characters>9001</Characters>
  <Lines>210</Lines>
  <Paragraphs>59</Paragraphs>
  <TotalTime>9</TotalTime>
  <ScaleCrop>false</ScaleCrop>
  <LinksUpToDate>false</LinksUpToDate>
  <CharactersWithSpaces>9028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2024-05-31T02:17:00Z</dcterms:created>
  <dc:creator>dreamsummit</dc:creator>
  <cp:lastModifiedBy>豆</cp:lastModifiedBy>
  <dcterms:modified xsi:type="dcterms:W3CDTF">2025-10-27T16:06:27Z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4BD26A4284784F89A24A275C7E19EB9E</vt:lpwstr>
  </property>
  <property fmtid="{D5CDD505-2E9C-101B-9397-08002B2CF9AE}" pid="4" name="KSOTemplateDocerSaveRecord">
    <vt:lpwstr>eyJoZGlkIjoiMjdhODZjMmZmNjc4NTdlZThmNDNkZWIwNjFjNWQ2ZjciLCJ1c2VySWQiOiI3NzQ2OTMzOTYifQ==</vt:lpwstr>
  </property>
</Properties>
</file>